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8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2"/>
      </w:tblGrid>
      <w:tr w:rsidR="002F3D9E" w:rsidRPr="008B6B46" w:rsidTr="00050FA2">
        <w:trPr>
          <w:trHeight w:val="11740"/>
        </w:trPr>
        <w:tc>
          <w:tcPr>
            <w:tcW w:w="10842" w:type="dxa"/>
          </w:tcPr>
          <w:p w:rsidR="002F3D9E" w:rsidRPr="00922089" w:rsidRDefault="002F3D9E" w:rsidP="008A52F5">
            <w:pPr>
              <w:shd w:val="clear" w:color="auto" w:fill="FFFFFF" w:themeFill="background1"/>
              <w:tabs>
                <w:tab w:val="left" w:pos="426"/>
              </w:tabs>
              <w:ind w:left="426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2F3D9E" w:rsidRPr="000C1489" w:rsidRDefault="00BB0CD3" w:rsidP="00D2467D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238" w:right="288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b/>
                <w:sz w:val="24"/>
                <w:szCs w:val="24"/>
              </w:rPr>
              <w:t xml:space="preserve">KISALTMALAR </w:t>
            </w:r>
          </w:p>
          <w:p w:rsidR="000B1AB6" w:rsidRPr="000C1489" w:rsidRDefault="000B1AB6" w:rsidP="00D2467D">
            <w:pPr>
              <w:pStyle w:val="ListeParagraf"/>
              <w:spacing w:before="120" w:after="120"/>
              <w:ind w:left="123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ABÜ</w:t>
            </w: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>: Antalya Bilim Üniversitesi</w:t>
            </w:r>
          </w:p>
          <w:p w:rsidR="000B1AB6" w:rsidRPr="000C1489" w:rsidRDefault="000B1AB6" w:rsidP="00D2467D">
            <w:pPr>
              <w:pStyle w:val="ListeParagraf"/>
              <w:spacing w:before="120" w:after="120"/>
              <w:ind w:left="123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proofErr w:type="gramStart"/>
            <w:r w:rsidRPr="000C148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ABÜ</w:t>
            </w:r>
            <w:r w:rsidR="006E7F18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K</w:t>
            </w: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> : Antalya</w:t>
            </w:r>
            <w:proofErr w:type="gramEnd"/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Bilim Üniversitesi Kütüphaneleri </w:t>
            </w:r>
          </w:p>
          <w:p w:rsidR="000B1AB6" w:rsidRPr="000C1489" w:rsidRDefault="000B1AB6" w:rsidP="00D2467D">
            <w:pPr>
              <w:pStyle w:val="ListeParagraf"/>
              <w:spacing w:before="120" w:after="120"/>
              <w:ind w:left="123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DB</w:t>
            </w: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: </w:t>
            </w:r>
            <w:r w:rsidR="000C1489"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</w:t>
            </w: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>Dolaşım Birimi</w:t>
            </w:r>
          </w:p>
          <w:p w:rsidR="00BB0CD3" w:rsidRPr="000C1489" w:rsidRDefault="00BB0CD3" w:rsidP="00BB0CD3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0B1AB6" w:rsidRPr="000C1489" w:rsidRDefault="000B1AB6" w:rsidP="00D2467D">
            <w:pPr>
              <w:pStyle w:val="ListeParagraf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b/>
                <w:sz w:val="24"/>
                <w:szCs w:val="24"/>
              </w:rPr>
              <w:t>AMAÇ</w:t>
            </w:r>
          </w:p>
          <w:p w:rsidR="00177B95" w:rsidRPr="000C1489" w:rsidRDefault="000B1AB6" w:rsidP="000B1AB6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599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proofErr w:type="spellStart"/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>ABÜK’de</w:t>
            </w:r>
            <w:proofErr w:type="spellEnd"/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bulunan kaynakların kullanıcı profiline göre üyelik, ödünç verme, iade, ayırtma, uzatma, gecikme ve kayıp işlem süreçlerinin tanımlanmasıdır.</w:t>
            </w:r>
          </w:p>
          <w:p w:rsidR="000B1AB6" w:rsidRPr="000C1489" w:rsidRDefault="000B1AB6" w:rsidP="000C1489">
            <w:p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0B1AB6" w:rsidRPr="000C1489" w:rsidRDefault="000B1AB6" w:rsidP="00D2467D">
            <w:pPr>
              <w:pStyle w:val="ListeParagraf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b/>
                <w:sz w:val="24"/>
                <w:szCs w:val="24"/>
              </w:rPr>
              <w:t>KAPSAM</w:t>
            </w:r>
          </w:p>
          <w:p w:rsidR="000B1AB6" w:rsidRPr="000C1489" w:rsidRDefault="000B1AB6" w:rsidP="000B1AB6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599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>ABÜ koleksiyonunda bulunan kaynakların (sözlük, rezerv kaynak, tez vs.), DVD ve CD-ROM DB  tarafından verilen diğer hizmetlerin işlem süreçlerini kapsar.</w:t>
            </w:r>
          </w:p>
          <w:p w:rsidR="000B1AB6" w:rsidRPr="000C1489" w:rsidRDefault="000B1AB6" w:rsidP="000B1AB6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599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0B1AB6" w:rsidRPr="000C1489" w:rsidRDefault="000B1AB6" w:rsidP="00D2467D">
            <w:pPr>
              <w:pStyle w:val="ListeParagraf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b/>
                <w:sz w:val="24"/>
                <w:szCs w:val="24"/>
              </w:rPr>
              <w:t xml:space="preserve">SORUMLULAR </w:t>
            </w:r>
          </w:p>
          <w:p w:rsidR="000B1AB6" w:rsidRPr="000C1489" w:rsidRDefault="00A977B9" w:rsidP="000B1AB6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599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>
              <w:rPr>
                <w:rFonts w:ascii="Arial Narrow" w:hAnsi="Arial Narrow" w:cs="Arial"/>
                <w:color w:val="252525"/>
                <w:sz w:val="24"/>
                <w:szCs w:val="24"/>
              </w:rPr>
              <w:t>DB sorumlusu, DB personeli</w:t>
            </w:r>
          </w:p>
          <w:p w:rsidR="000B1AB6" w:rsidRPr="000C1489" w:rsidRDefault="000B1AB6" w:rsidP="000B1AB6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599"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0B1AB6" w:rsidRPr="000C1489" w:rsidRDefault="000B1AB6" w:rsidP="00D2467D">
            <w:pPr>
              <w:pStyle w:val="ListeParagraf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b/>
                <w:sz w:val="24"/>
                <w:szCs w:val="24"/>
              </w:rPr>
              <w:t xml:space="preserve">PROSEDÜR AKIŞI </w:t>
            </w:r>
          </w:p>
          <w:p w:rsidR="000B1AB6" w:rsidRPr="000C1489" w:rsidRDefault="000B1AB6" w:rsidP="00D2467D">
            <w:pPr>
              <w:pStyle w:val="ListeParagraf"/>
              <w:numPr>
                <w:ilvl w:val="1"/>
                <w:numId w:val="2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b/>
                <w:sz w:val="24"/>
                <w:szCs w:val="24"/>
              </w:rPr>
              <w:t xml:space="preserve">Üyelik İşlemleri </w:t>
            </w: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>ABÜ</w:t>
            </w:r>
            <w:r w:rsidR="00840681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Akademik ve idari</w:t>
            </w:r>
            <w:r w:rsidR="00A977B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personel, </w:t>
            </w: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öğrenci, konuk akademik, protokol ile gelen ve ödünç verme hizmetinden yararlanmak için özel üyelik yaptıran dış kullanıcıların, ödünç verme hizmetlerinden yararlanabilmesi için yapılan işlemlerin tümünü kapsar. </w:t>
            </w:r>
          </w:p>
          <w:p w:rsidR="000B1AB6" w:rsidRPr="000C1489" w:rsidRDefault="000B1AB6" w:rsidP="00D2467D">
            <w:pPr>
              <w:pStyle w:val="ListeParagraf"/>
              <w:numPr>
                <w:ilvl w:val="1"/>
                <w:numId w:val="2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b/>
                <w:sz w:val="24"/>
                <w:szCs w:val="24"/>
              </w:rPr>
              <w:t xml:space="preserve"> Ödünç Verme İşlemleri: </w:t>
            </w: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Kullanıcıların ödünç aldığı kaynaklarla (kitap, tez, sözlük, DVD, CD-ROM, rezerv kaynaklar) ilgili yapılan işlemdir. </w:t>
            </w:r>
          </w:p>
          <w:p w:rsidR="000B1AB6" w:rsidRPr="000C1489" w:rsidRDefault="000B1AB6" w:rsidP="00D2467D">
            <w:pPr>
              <w:pStyle w:val="ListeParagraf"/>
              <w:numPr>
                <w:ilvl w:val="2"/>
                <w:numId w:val="2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>Kitap / Rezerve Kaynak / CD-ROM</w:t>
            </w:r>
          </w:p>
          <w:p w:rsidR="000B1AB6" w:rsidRPr="000C1489" w:rsidRDefault="000B1AB6" w:rsidP="00D2467D">
            <w:pPr>
              <w:pStyle w:val="ListeParagraf"/>
              <w:numPr>
                <w:ilvl w:val="1"/>
                <w:numId w:val="2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b/>
                <w:sz w:val="24"/>
                <w:szCs w:val="24"/>
              </w:rPr>
              <w:t xml:space="preserve"> İade İşlemleri: </w:t>
            </w: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>Kullanıcıların ödünç aldığı kaynakların iadesinde gerçekleştirilen işlemdir.</w:t>
            </w:r>
          </w:p>
          <w:p w:rsidR="000C1489" w:rsidRPr="000C1489" w:rsidRDefault="000C1489" w:rsidP="00D2467D">
            <w:pPr>
              <w:pStyle w:val="ListeParagraf"/>
              <w:numPr>
                <w:ilvl w:val="1"/>
                <w:numId w:val="2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spacing w:before="120" w:after="120"/>
              <w:ind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b/>
                <w:sz w:val="24"/>
                <w:szCs w:val="24"/>
              </w:rPr>
              <w:t xml:space="preserve"> Uzatma </w:t>
            </w:r>
            <w:r w:rsidR="00D91614" w:rsidRPr="000C1489">
              <w:rPr>
                <w:rFonts w:ascii="Arial Narrow" w:hAnsi="Arial Narrow" w:cs="Arial"/>
                <w:b/>
                <w:sz w:val="24"/>
                <w:szCs w:val="24"/>
              </w:rPr>
              <w:t>İşlemleri:</w:t>
            </w:r>
            <w:r w:rsidR="00D91614"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Kullanıcıların</w:t>
            </w: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üzerinde olan, gecikmeye girmemiş kaynaklar için </w:t>
            </w:r>
            <w:r w:rsidR="00D91614"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>yapılan işlemdir</w:t>
            </w: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>.</w:t>
            </w:r>
          </w:p>
          <w:p w:rsidR="000C1489" w:rsidRPr="000C1489" w:rsidRDefault="000C1489" w:rsidP="00D2467D">
            <w:pPr>
              <w:pStyle w:val="ListeParagraf"/>
              <w:numPr>
                <w:ilvl w:val="1"/>
                <w:numId w:val="2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spacing w:before="120" w:after="120"/>
              <w:ind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b/>
                <w:sz w:val="24"/>
                <w:szCs w:val="24"/>
              </w:rPr>
              <w:t xml:space="preserve"> Ayırtma İşlemleri: </w:t>
            </w: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>Başkası tarafından ödünç alınmış kaynakların, yeni kullanıcı için ayırtılması işlemidir.</w:t>
            </w:r>
          </w:p>
          <w:p w:rsidR="000C1489" w:rsidRPr="000C1489" w:rsidRDefault="000C1489" w:rsidP="00D2467D">
            <w:pPr>
              <w:pStyle w:val="ListeParagraf"/>
              <w:numPr>
                <w:ilvl w:val="1"/>
                <w:numId w:val="2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spacing w:before="120" w:after="120"/>
              <w:ind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</w:t>
            </w:r>
            <w:r w:rsidRPr="000C1489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Gecikme İşlemleri: </w:t>
            </w: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>Kullanıcı tarafından iade süresi geçmiş kaynaklar için yapılan işlemdir.</w:t>
            </w:r>
          </w:p>
          <w:p w:rsidR="000C1489" w:rsidRPr="000C1489" w:rsidRDefault="000C1489" w:rsidP="00D2467D">
            <w:pPr>
              <w:pStyle w:val="ListeParagraf"/>
              <w:numPr>
                <w:ilvl w:val="1"/>
                <w:numId w:val="2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spacing w:before="120" w:after="120"/>
              <w:ind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</w:t>
            </w:r>
            <w:r w:rsidRPr="000C1489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Kayıp </w:t>
            </w:r>
            <w:r w:rsidR="00D91614" w:rsidRPr="000C1489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İşlemleri:</w:t>
            </w:r>
            <w:r w:rsidR="00D91614"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Kullanıcı</w:t>
            </w: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tarafından kaybedilen kaynaklar için KGB’ye yapılan yönlendirme işlemidir.</w:t>
            </w:r>
          </w:p>
          <w:p w:rsidR="000C1489" w:rsidRPr="000C1489" w:rsidRDefault="000C1489" w:rsidP="00D2467D">
            <w:pPr>
              <w:pStyle w:val="ListeParagraf"/>
              <w:numPr>
                <w:ilvl w:val="1"/>
                <w:numId w:val="2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spacing w:before="120" w:after="120"/>
              <w:ind w:right="282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</w:t>
            </w:r>
            <w:r w:rsidRPr="000C1489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İlişik Kesme İşlemleri: </w:t>
            </w:r>
            <w:proofErr w:type="spellStart"/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>ABÜ’den</w:t>
            </w:r>
            <w:proofErr w:type="spellEnd"/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mezun olacak öğrenciler ve ayrılan personelin kütüphane üyeliklerini sonlandırma işlemleridir.</w:t>
            </w:r>
          </w:p>
          <w:p w:rsidR="000B1AB6" w:rsidRPr="000B1AB6" w:rsidRDefault="000C1489" w:rsidP="00D2467D">
            <w:pPr>
              <w:pStyle w:val="ListeParagraf"/>
              <w:numPr>
                <w:ilvl w:val="1"/>
                <w:numId w:val="2"/>
              </w:numPr>
              <w:shd w:val="clear" w:color="auto" w:fill="FFFFFF" w:themeFill="background1"/>
              <w:tabs>
                <w:tab w:val="left" w:pos="426"/>
                <w:tab w:val="left" w:pos="10348"/>
              </w:tabs>
              <w:spacing w:before="120" w:after="120"/>
              <w:ind w:right="28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</w:t>
            </w:r>
            <w:r w:rsidRPr="000C1489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Raporlama: </w:t>
            </w:r>
            <w:r w:rsidRPr="000C1489">
              <w:rPr>
                <w:rFonts w:ascii="Arial Narrow" w:hAnsi="Arial Narrow" w:cs="Arial"/>
                <w:color w:val="252525"/>
                <w:sz w:val="24"/>
                <w:szCs w:val="24"/>
              </w:rPr>
              <w:t>Aylık ve yıllık DB raporları ile yönetim tarafından istenen (toplantı, hizmet vb.) değerlendirme raporlarının hazırlanmasıdır.</w:t>
            </w:r>
          </w:p>
        </w:tc>
      </w:tr>
    </w:tbl>
    <w:p w:rsidR="002F3D9E" w:rsidRPr="008B6B46" w:rsidRDefault="002F3D9E" w:rsidP="008A52F5">
      <w:pPr>
        <w:shd w:val="clear" w:color="auto" w:fill="FFFFFF" w:themeFill="background1"/>
        <w:tabs>
          <w:tab w:val="num" w:pos="142"/>
          <w:tab w:val="left" w:pos="426"/>
          <w:tab w:val="num" w:pos="540"/>
        </w:tabs>
        <w:ind w:left="426" w:right="282"/>
        <w:jc w:val="both"/>
        <w:rPr>
          <w:rFonts w:ascii="Arial Narrow" w:hAnsi="Arial Narrow" w:cs="Arial"/>
          <w:b/>
        </w:rPr>
      </w:pPr>
    </w:p>
    <w:p w:rsidR="008A25B6" w:rsidRDefault="008A25B6" w:rsidP="008A52F5">
      <w:pPr>
        <w:shd w:val="clear" w:color="auto" w:fill="FFFFFF" w:themeFill="background1"/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sectPr w:rsidR="008A25B6" w:rsidSect="00840681">
      <w:headerReference w:type="default" r:id="rId7"/>
      <w:footerReference w:type="default" r:id="rId8"/>
      <w:pgSz w:w="11906" w:h="16838" w:code="9"/>
      <w:pgMar w:top="850" w:right="562" w:bottom="1987" w:left="706" w:header="706" w:footer="43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AB" w:rsidRDefault="004722AB">
      <w:r>
        <w:separator/>
      </w:r>
    </w:p>
  </w:endnote>
  <w:endnote w:type="continuationSeparator" w:id="0">
    <w:p w:rsidR="004722AB" w:rsidRDefault="0047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6"/>
      <w:gridCol w:w="2409"/>
      <w:gridCol w:w="2821"/>
      <w:gridCol w:w="2644"/>
    </w:tblGrid>
    <w:tr w:rsidR="00072EC4" w:rsidRPr="0024788E" w:rsidTr="00DA61F8">
      <w:tc>
        <w:tcPr>
          <w:tcW w:w="2746" w:type="dxa"/>
          <w:shd w:val="clear" w:color="auto" w:fill="auto"/>
        </w:tcPr>
        <w:p w:rsidR="00072EC4" w:rsidRPr="0024788E" w:rsidRDefault="00072EC4" w:rsidP="00072EC4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Hazırlayan</w:t>
          </w:r>
        </w:p>
      </w:tc>
      <w:tc>
        <w:tcPr>
          <w:tcW w:w="2409" w:type="dxa"/>
        </w:tcPr>
        <w:p w:rsidR="00072EC4" w:rsidRPr="0024788E" w:rsidRDefault="00072EC4" w:rsidP="00072EC4">
          <w:pPr>
            <w:pStyle w:val="AltBilgi"/>
            <w:jc w:val="center"/>
            <w:rPr>
              <w:b/>
            </w:rPr>
          </w:pPr>
          <w:r>
            <w:rPr>
              <w:b/>
            </w:rPr>
            <w:t>Genel Sekreter</w:t>
          </w:r>
        </w:p>
      </w:tc>
      <w:tc>
        <w:tcPr>
          <w:tcW w:w="2821" w:type="dxa"/>
          <w:shd w:val="clear" w:color="auto" w:fill="auto"/>
        </w:tcPr>
        <w:p w:rsidR="00072EC4" w:rsidRPr="0024788E" w:rsidRDefault="00072EC4" w:rsidP="00072EC4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Onay</w:t>
          </w:r>
        </w:p>
      </w:tc>
      <w:tc>
        <w:tcPr>
          <w:tcW w:w="2644" w:type="dxa"/>
          <w:shd w:val="clear" w:color="auto" w:fill="auto"/>
        </w:tcPr>
        <w:p w:rsidR="00072EC4" w:rsidRPr="0024788E" w:rsidRDefault="00072EC4" w:rsidP="00072EC4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Kalite Sistemi Onayı</w:t>
          </w:r>
        </w:p>
      </w:tc>
    </w:tr>
    <w:tr w:rsidR="00072EC4" w:rsidRPr="0024788E" w:rsidTr="00DA61F8">
      <w:tc>
        <w:tcPr>
          <w:tcW w:w="2746" w:type="dxa"/>
          <w:shd w:val="clear" w:color="auto" w:fill="auto"/>
        </w:tcPr>
        <w:p w:rsidR="00072EC4" w:rsidRDefault="00072EC4" w:rsidP="00072EC4">
          <w:pPr>
            <w:pStyle w:val="AltBilgi"/>
            <w:jc w:val="center"/>
          </w:pPr>
        </w:p>
        <w:p w:rsidR="00072EC4" w:rsidRDefault="00072EC4" w:rsidP="00072EC4">
          <w:pPr>
            <w:pStyle w:val="AltBilgi"/>
            <w:jc w:val="center"/>
          </w:pPr>
          <w:r>
            <w:t>Tuğçe YEYEN AYAZ</w:t>
          </w:r>
        </w:p>
        <w:p w:rsidR="00072EC4" w:rsidRDefault="00072EC4" w:rsidP="00072EC4">
          <w:pPr>
            <w:pStyle w:val="AltBilgi"/>
            <w:jc w:val="center"/>
          </w:pPr>
        </w:p>
      </w:tc>
      <w:tc>
        <w:tcPr>
          <w:tcW w:w="2409" w:type="dxa"/>
        </w:tcPr>
        <w:p w:rsidR="00072EC4" w:rsidRDefault="00072EC4" w:rsidP="00072EC4">
          <w:pPr>
            <w:pStyle w:val="AltBilgi"/>
            <w:jc w:val="center"/>
          </w:pPr>
        </w:p>
        <w:p w:rsidR="00072EC4" w:rsidRDefault="00072EC4" w:rsidP="00072EC4">
          <w:pPr>
            <w:pStyle w:val="AltBilgi"/>
            <w:jc w:val="center"/>
          </w:pPr>
          <w:r>
            <w:t>Çağatay ASLAN</w:t>
          </w:r>
        </w:p>
      </w:tc>
      <w:tc>
        <w:tcPr>
          <w:tcW w:w="2821" w:type="dxa"/>
          <w:shd w:val="clear" w:color="auto" w:fill="auto"/>
        </w:tcPr>
        <w:p w:rsidR="00072EC4" w:rsidRDefault="00072EC4" w:rsidP="00072EC4">
          <w:pPr>
            <w:pStyle w:val="AltBilgi"/>
            <w:jc w:val="center"/>
          </w:pPr>
        </w:p>
        <w:p w:rsidR="00072EC4" w:rsidRDefault="00072EC4" w:rsidP="00072EC4">
          <w:pPr>
            <w:pStyle w:val="AltBilgi"/>
            <w:jc w:val="center"/>
          </w:pPr>
          <w:r>
            <w:t>Prof. Dr. Semih EKERCİN</w:t>
          </w:r>
        </w:p>
      </w:tc>
      <w:tc>
        <w:tcPr>
          <w:tcW w:w="2644" w:type="dxa"/>
          <w:shd w:val="clear" w:color="auto" w:fill="auto"/>
        </w:tcPr>
        <w:p w:rsidR="00072EC4" w:rsidRDefault="00072EC4" w:rsidP="00072EC4">
          <w:pPr>
            <w:pStyle w:val="AltBilgi"/>
            <w:jc w:val="center"/>
          </w:pPr>
        </w:p>
        <w:p w:rsidR="00072EC4" w:rsidRDefault="00072EC4" w:rsidP="00072EC4">
          <w:pPr>
            <w:pStyle w:val="AltBilgi"/>
            <w:jc w:val="center"/>
          </w:pPr>
          <w:r>
            <w:t>Şafak GÜR</w:t>
          </w:r>
        </w:p>
      </w:tc>
    </w:tr>
  </w:tbl>
  <w:p w:rsidR="000F55B4" w:rsidRDefault="000F55B4" w:rsidP="000F55B4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025182" w:rsidRPr="003A33FC" w:rsidRDefault="00025182" w:rsidP="00692CD1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AB" w:rsidRDefault="004722AB">
      <w:r>
        <w:separator/>
      </w:r>
    </w:p>
  </w:footnote>
  <w:footnote w:type="continuationSeparator" w:id="0">
    <w:p w:rsidR="004722AB" w:rsidRDefault="0047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36"/>
      <w:gridCol w:w="4420"/>
      <w:gridCol w:w="1677"/>
      <w:gridCol w:w="1413"/>
    </w:tblGrid>
    <w:tr w:rsidR="00025182" w:rsidRPr="00BF2725" w:rsidTr="002A6F49">
      <w:trPr>
        <w:trHeight w:val="340"/>
      </w:trPr>
      <w:tc>
        <w:tcPr>
          <w:tcW w:w="3009" w:type="dxa"/>
          <w:vMerge w:val="restart"/>
        </w:tcPr>
        <w:p w:rsidR="00692CD1" w:rsidRDefault="00610791" w:rsidP="00692CD1">
          <w:pPr>
            <w:rPr>
              <w:noProof/>
            </w:rPr>
          </w:pPr>
          <w:r>
            <w:rPr>
              <w:noProof/>
            </w:rPr>
            <w:t xml:space="preserve">    </w:t>
          </w:r>
        </w:p>
        <w:p w:rsidR="00025182" w:rsidRPr="00BF2725" w:rsidRDefault="00610791" w:rsidP="00692CD1">
          <w:pPr>
            <w:rPr>
              <w:rFonts w:ascii="Arial Narrow" w:hAnsi="Arial Narrow"/>
              <w:sz w:val="16"/>
            </w:rPr>
          </w:pPr>
          <w:r>
            <w:rPr>
              <w:noProof/>
            </w:rPr>
            <w:t xml:space="preserve">      </w:t>
          </w:r>
          <w:r w:rsidR="00692CD1" w:rsidRPr="003D7626">
            <w:rPr>
              <w:noProof/>
            </w:rPr>
            <w:drawing>
              <wp:inline distT="0" distB="0" distL="0" distR="0">
                <wp:extent cx="1976755" cy="395605"/>
                <wp:effectExtent l="0" t="0" r="4445" b="4445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Merge w:val="restart"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8"/>
            </w:rPr>
          </w:pPr>
          <w:r w:rsidRPr="00BF2725">
            <w:rPr>
              <w:rFonts w:ascii="Arial Narrow" w:hAnsi="Arial Narrow"/>
              <w:b/>
              <w:sz w:val="36"/>
              <w:szCs w:val="28"/>
            </w:rPr>
            <w:t>PROSEDÜR</w:t>
          </w:r>
        </w:p>
      </w:tc>
      <w:tc>
        <w:tcPr>
          <w:tcW w:w="1743" w:type="dxa"/>
          <w:vAlign w:val="center"/>
        </w:tcPr>
        <w:p w:rsidR="00025182" w:rsidRPr="00BF2725" w:rsidRDefault="00025182" w:rsidP="00012FC6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Doküman kodu</w:t>
          </w:r>
        </w:p>
      </w:tc>
      <w:tc>
        <w:tcPr>
          <w:tcW w:w="1440" w:type="dxa"/>
          <w:vAlign w:val="center"/>
        </w:tcPr>
        <w:p w:rsidR="00025182" w:rsidRPr="00BF2725" w:rsidRDefault="00692CD1" w:rsidP="00A9065B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K</w:t>
          </w:r>
          <w:r w:rsidR="00A9065B">
            <w:rPr>
              <w:rFonts w:ascii="Arial Narrow" w:hAnsi="Arial Narrow"/>
              <w:sz w:val="22"/>
              <w:szCs w:val="22"/>
            </w:rPr>
            <w:t>D</w:t>
          </w:r>
          <w:r>
            <w:rPr>
              <w:rFonts w:ascii="Arial Narrow" w:hAnsi="Arial Narrow"/>
              <w:sz w:val="22"/>
              <w:szCs w:val="22"/>
            </w:rPr>
            <w:t>-</w:t>
          </w:r>
          <w:r w:rsidR="001F2A06">
            <w:rPr>
              <w:rFonts w:ascii="Arial Narrow" w:hAnsi="Arial Narrow"/>
              <w:sz w:val="22"/>
              <w:szCs w:val="22"/>
            </w:rPr>
            <w:t>P</w:t>
          </w:r>
          <w:r w:rsidR="00610791">
            <w:rPr>
              <w:rFonts w:ascii="Arial Narrow" w:hAnsi="Arial Narrow"/>
              <w:sz w:val="22"/>
              <w:szCs w:val="22"/>
            </w:rPr>
            <w:t>R</w:t>
          </w:r>
          <w:r w:rsidR="001F2A06">
            <w:rPr>
              <w:rFonts w:ascii="Arial Narrow" w:hAnsi="Arial Narrow"/>
              <w:sz w:val="22"/>
              <w:szCs w:val="22"/>
            </w:rPr>
            <w:t>-0</w:t>
          </w:r>
          <w:r w:rsidR="006F5445">
            <w:rPr>
              <w:rFonts w:ascii="Arial Narrow" w:hAnsi="Arial Narrow"/>
              <w:sz w:val="22"/>
              <w:szCs w:val="22"/>
            </w:rPr>
            <w:t>0</w:t>
          </w:r>
          <w:r w:rsidR="00A9065B">
            <w:rPr>
              <w:rFonts w:ascii="Arial Narrow" w:hAnsi="Arial Narrow"/>
              <w:sz w:val="22"/>
              <w:szCs w:val="22"/>
            </w:rPr>
            <w:t>0</w:t>
          </w:r>
          <w:r w:rsidR="000B1AB6">
            <w:rPr>
              <w:rFonts w:ascii="Arial Narrow" w:hAnsi="Arial Narrow"/>
              <w:sz w:val="22"/>
              <w:szCs w:val="22"/>
            </w:rPr>
            <w:t>5</w:t>
          </w:r>
        </w:p>
      </w:tc>
    </w:tr>
    <w:tr w:rsidR="00025182" w:rsidRPr="00BF2725" w:rsidTr="002A6F49">
      <w:trPr>
        <w:trHeight w:val="340"/>
      </w:trPr>
      <w:tc>
        <w:tcPr>
          <w:tcW w:w="3009" w:type="dxa"/>
          <w:vMerge/>
        </w:tcPr>
        <w:p w:rsidR="00025182" w:rsidRPr="00BF2725" w:rsidRDefault="00025182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4"/>
            </w:rPr>
          </w:pPr>
        </w:p>
      </w:tc>
      <w:tc>
        <w:tcPr>
          <w:tcW w:w="1743" w:type="dxa"/>
          <w:vAlign w:val="center"/>
        </w:tcPr>
        <w:p w:rsidR="00025182" w:rsidRPr="00BF2725" w:rsidRDefault="00025182" w:rsidP="005F7375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Yayın tarihi</w:t>
          </w:r>
        </w:p>
      </w:tc>
      <w:tc>
        <w:tcPr>
          <w:tcW w:w="1440" w:type="dxa"/>
          <w:vAlign w:val="center"/>
        </w:tcPr>
        <w:p w:rsidR="00025182" w:rsidRPr="00BF2725" w:rsidRDefault="00692CD1" w:rsidP="004A013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27.08.2018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 w:val="restart"/>
          <w:vAlign w:val="center"/>
        </w:tcPr>
        <w:p w:rsidR="001F2A06" w:rsidRPr="00BF2725" w:rsidRDefault="00822269" w:rsidP="00822269">
          <w:pPr>
            <w:ind w:left="-111" w:right="-66"/>
            <w:jc w:val="center"/>
            <w:rPr>
              <w:rFonts w:ascii="Arial Narrow" w:hAnsi="Arial Narrow"/>
              <w:b/>
              <w:sz w:val="36"/>
              <w:szCs w:val="28"/>
            </w:rPr>
          </w:pPr>
          <w:r>
            <w:rPr>
              <w:rFonts w:ascii="Arial Narrow" w:hAnsi="Arial Narrow"/>
              <w:b/>
              <w:sz w:val="36"/>
              <w:szCs w:val="28"/>
            </w:rPr>
            <w:t>DOLAŞIM</w:t>
          </w:r>
        </w:p>
      </w:tc>
      <w:tc>
        <w:tcPr>
          <w:tcW w:w="1743" w:type="dxa"/>
          <w:vAlign w:val="center"/>
        </w:tcPr>
        <w:p w:rsidR="001F2A06" w:rsidRPr="00E66DF4" w:rsidRDefault="006F5445" w:rsidP="006F5445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No</w:t>
          </w:r>
        </w:p>
      </w:tc>
      <w:tc>
        <w:tcPr>
          <w:tcW w:w="1440" w:type="dxa"/>
          <w:vAlign w:val="center"/>
        </w:tcPr>
        <w:p w:rsidR="001F2A06" w:rsidRPr="00BF2725" w:rsidRDefault="006F5445" w:rsidP="00012FC6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0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1F2A06" w:rsidRPr="00BF2725" w:rsidRDefault="001F2A06" w:rsidP="002A6F4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743" w:type="dxa"/>
          <w:vAlign w:val="center"/>
        </w:tcPr>
        <w:p w:rsidR="001F2A06" w:rsidRPr="00E66DF4" w:rsidRDefault="006F5445" w:rsidP="00D954EE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T</w:t>
          </w:r>
          <w:r w:rsidR="001F2A06" w:rsidRPr="00E66DF4">
            <w:rPr>
              <w:rFonts w:ascii="Arial Narrow" w:hAnsi="Arial Narrow"/>
              <w:b/>
            </w:rPr>
            <w:t>arihi</w:t>
          </w:r>
        </w:p>
      </w:tc>
      <w:tc>
        <w:tcPr>
          <w:tcW w:w="1440" w:type="dxa"/>
          <w:vAlign w:val="center"/>
        </w:tcPr>
        <w:p w:rsidR="001F2A06" w:rsidRPr="00BF2725" w:rsidRDefault="006F5445" w:rsidP="005F737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-</w:t>
          </w:r>
        </w:p>
      </w:tc>
    </w:tr>
  </w:tbl>
  <w:p w:rsidR="00025182" w:rsidRPr="00BF2725" w:rsidRDefault="00025182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D1F73"/>
    <w:multiLevelType w:val="multilevel"/>
    <w:tmpl w:val="0AC21D6E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1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B70"/>
    <w:rsid w:val="0001122F"/>
    <w:rsid w:val="00011581"/>
    <w:rsid w:val="00012FC6"/>
    <w:rsid w:val="0002344C"/>
    <w:rsid w:val="00024141"/>
    <w:rsid w:val="00025182"/>
    <w:rsid w:val="00026DE9"/>
    <w:rsid w:val="000360AD"/>
    <w:rsid w:val="00040B68"/>
    <w:rsid w:val="00050FA2"/>
    <w:rsid w:val="00053202"/>
    <w:rsid w:val="000538F0"/>
    <w:rsid w:val="0005455A"/>
    <w:rsid w:val="00060A24"/>
    <w:rsid w:val="000710B0"/>
    <w:rsid w:val="00071F10"/>
    <w:rsid w:val="00072EC4"/>
    <w:rsid w:val="00074B6A"/>
    <w:rsid w:val="00075A1E"/>
    <w:rsid w:val="00081C5E"/>
    <w:rsid w:val="00092EE1"/>
    <w:rsid w:val="00096772"/>
    <w:rsid w:val="000A363B"/>
    <w:rsid w:val="000A417F"/>
    <w:rsid w:val="000A5E55"/>
    <w:rsid w:val="000B1AB6"/>
    <w:rsid w:val="000B3035"/>
    <w:rsid w:val="000B62ED"/>
    <w:rsid w:val="000B72FE"/>
    <w:rsid w:val="000B776A"/>
    <w:rsid w:val="000B7C6C"/>
    <w:rsid w:val="000C03F0"/>
    <w:rsid w:val="000C1489"/>
    <w:rsid w:val="000C44B5"/>
    <w:rsid w:val="000D28F0"/>
    <w:rsid w:val="000E095E"/>
    <w:rsid w:val="000E0E5F"/>
    <w:rsid w:val="000E0F46"/>
    <w:rsid w:val="000E2540"/>
    <w:rsid w:val="000E54DA"/>
    <w:rsid w:val="000F31D1"/>
    <w:rsid w:val="000F55B4"/>
    <w:rsid w:val="00105692"/>
    <w:rsid w:val="0010605A"/>
    <w:rsid w:val="0010788A"/>
    <w:rsid w:val="00113B7A"/>
    <w:rsid w:val="00120DAC"/>
    <w:rsid w:val="00121F65"/>
    <w:rsid w:val="001303CE"/>
    <w:rsid w:val="001336AB"/>
    <w:rsid w:val="00136534"/>
    <w:rsid w:val="001527BE"/>
    <w:rsid w:val="00152A74"/>
    <w:rsid w:val="00156584"/>
    <w:rsid w:val="00156DCE"/>
    <w:rsid w:val="00164843"/>
    <w:rsid w:val="001675B5"/>
    <w:rsid w:val="0017634A"/>
    <w:rsid w:val="00176E7F"/>
    <w:rsid w:val="00177B95"/>
    <w:rsid w:val="001802C6"/>
    <w:rsid w:val="00185CBA"/>
    <w:rsid w:val="00187AEE"/>
    <w:rsid w:val="00193EFC"/>
    <w:rsid w:val="00196BBB"/>
    <w:rsid w:val="00196C65"/>
    <w:rsid w:val="00197DF9"/>
    <w:rsid w:val="001A671E"/>
    <w:rsid w:val="001B1DA3"/>
    <w:rsid w:val="001C12A0"/>
    <w:rsid w:val="001C179D"/>
    <w:rsid w:val="001C50CA"/>
    <w:rsid w:val="001C6087"/>
    <w:rsid w:val="001D271E"/>
    <w:rsid w:val="001E0D6D"/>
    <w:rsid w:val="001E4D73"/>
    <w:rsid w:val="001E504D"/>
    <w:rsid w:val="001E5360"/>
    <w:rsid w:val="001F196B"/>
    <w:rsid w:val="001F20ED"/>
    <w:rsid w:val="001F242D"/>
    <w:rsid w:val="001F2A06"/>
    <w:rsid w:val="001F53FC"/>
    <w:rsid w:val="001F69B8"/>
    <w:rsid w:val="001F7108"/>
    <w:rsid w:val="00201CB8"/>
    <w:rsid w:val="002023FF"/>
    <w:rsid w:val="00210B46"/>
    <w:rsid w:val="0021656C"/>
    <w:rsid w:val="0022535E"/>
    <w:rsid w:val="00226423"/>
    <w:rsid w:val="00233E7C"/>
    <w:rsid w:val="00243B4F"/>
    <w:rsid w:val="0024692C"/>
    <w:rsid w:val="0024788E"/>
    <w:rsid w:val="00250DE8"/>
    <w:rsid w:val="00252029"/>
    <w:rsid w:val="0025205E"/>
    <w:rsid w:val="00252A82"/>
    <w:rsid w:val="00257A16"/>
    <w:rsid w:val="0026019E"/>
    <w:rsid w:val="00261E92"/>
    <w:rsid w:val="00263EAE"/>
    <w:rsid w:val="00266014"/>
    <w:rsid w:val="00266F56"/>
    <w:rsid w:val="00271DC2"/>
    <w:rsid w:val="0027552B"/>
    <w:rsid w:val="002802B1"/>
    <w:rsid w:val="002821B1"/>
    <w:rsid w:val="002830F5"/>
    <w:rsid w:val="0028555B"/>
    <w:rsid w:val="00290B30"/>
    <w:rsid w:val="00293021"/>
    <w:rsid w:val="002A07BB"/>
    <w:rsid w:val="002A61DC"/>
    <w:rsid w:val="002A6F49"/>
    <w:rsid w:val="002B4A13"/>
    <w:rsid w:val="002B53F0"/>
    <w:rsid w:val="002B6E68"/>
    <w:rsid w:val="002C277A"/>
    <w:rsid w:val="002C3E72"/>
    <w:rsid w:val="002C6272"/>
    <w:rsid w:val="002C6AE8"/>
    <w:rsid w:val="002E0DE3"/>
    <w:rsid w:val="002E15C0"/>
    <w:rsid w:val="002E2A4C"/>
    <w:rsid w:val="002F36F3"/>
    <w:rsid w:val="002F3D9E"/>
    <w:rsid w:val="00300E16"/>
    <w:rsid w:val="00307B9D"/>
    <w:rsid w:val="00310FCB"/>
    <w:rsid w:val="00312922"/>
    <w:rsid w:val="003227C6"/>
    <w:rsid w:val="00325A94"/>
    <w:rsid w:val="0033062F"/>
    <w:rsid w:val="00340F45"/>
    <w:rsid w:val="00343D31"/>
    <w:rsid w:val="00350FE3"/>
    <w:rsid w:val="00351ED1"/>
    <w:rsid w:val="00352A9A"/>
    <w:rsid w:val="00353C94"/>
    <w:rsid w:val="00354E34"/>
    <w:rsid w:val="00356C8B"/>
    <w:rsid w:val="00365D8A"/>
    <w:rsid w:val="0036636C"/>
    <w:rsid w:val="00370315"/>
    <w:rsid w:val="00370807"/>
    <w:rsid w:val="00375A93"/>
    <w:rsid w:val="00377AC3"/>
    <w:rsid w:val="003811A4"/>
    <w:rsid w:val="00382608"/>
    <w:rsid w:val="00392510"/>
    <w:rsid w:val="00395486"/>
    <w:rsid w:val="003A0ACF"/>
    <w:rsid w:val="003A24D8"/>
    <w:rsid w:val="003A33FC"/>
    <w:rsid w:val="003A5260"/>
    <w:rsid w:val="003A5EA4"/>
    <w:rsid w:val="003B2BE2"/>
    <w:rsid w:val="003B4D66"/>
    <w:rsid w:val="003C3133"/>
    <w:rsid w:val="003C4FB6"/>
    <w:rsid w:val="003C4FC5"/>
    <w:rsid w:val="003C6EFC"/>
    <w:rsid w:val="003D3333"/>
    <w:rsid w:val="003D6BEA"/>
    <w:rsid w:val="003E0052"/>
    <w:rsid w:val="003E2EFB"/>
    <w:rsid w:val="003E3B23"/>
    <w:rsid w:val="003E7B64"/>
    <w:rsid w:val="003F0506"/>
    <w:rsid w:val="003F0A53"/>
    <w:rsid w:val="003F1B0C"/>
    <w:rsid w:val="003F5082"/>
    <w:rsid w:val="0040692A"/>
    <w:rsid w:val="00412A06"/>
    <w:rsid w:val="00413A2F"/>
    <w:rsid w:val="004157C6"/>
    <w:rsid w:val="00420596"/>
    <w:rsid w:val="00423561"/>
    <w:rsid w:val="004241AA"/>
    <w:rsid w:val="0042475F"/>
    <w:rsid w:val="00427493"/>
    <w:rsid w:val="004365AA"/>
    <w:rsid w:val="00441F5D"/>
    <w:rsid w:val="004456D3"/>
    <w:rsid w:val="004560F2"/>
    <w:rsid w:val="00464F1B"/>
    <w:rsid w:val="004678E1"/>
    <w:rsid w:val="004722AB"/>
    <w:rsid w:val="004773B2"/>
    <w:rsid w:val="00480B80"/>
    <w:rsid w:val="0048287D"/>
    <w:rsid w:val="004842BD"/>
    <w:rsid w:val="00485710"/>
    <w:rsid w:val="004A0135"/>
    <w:rsid w:val="004A2B58"/>
    <w:rsid w:val="004B5BD2"/>
    <w:rsid w:val="004B608F"/>
    <w:rsid w:val="004C07B4"/>
    <w:rsid w:val="004C2AA4"/>
    <w:rsid w:val="004C2ECB"/>
    <w:rsid w:val="004C50AB"/>
    <w:rsid w:val="004C7813"/>
    <w:rsid w:val="004D093A"/>
    <w:rsid w:val="004E01D8"/>
    <w:rsid w:val="004E23CB"/>
    <w:rsid w:val="004E274C"/>
    <w:rsid w:val="004E2F71"/>
    <w:rsid w:val="004E31EB"/>
    <w:rsid w:val="004E3C3C"/>
    <w:rsid w:val="004E3D78"/>
    <w:rsid w:val="004E6E44"/>
    <w:rsid w:val="004F1644"/>
    <w:rsid w:val="005005C1"/>
    <w:rsid w:val="00501208"/>
    <w:rsid w:val="00514DF1"/>
    <w:rsid w:val="005174EF"/>
    <w:rsid w:val="005219B8"/>
    <w:rsid w:val="005222D5"/>
    <w:rsid w:val="005222E1"/>
    <w:rsid w:val="0052593B"/>
    <w:rsid w:val="0053197C"/>
    <w:rsid w:val="0053554E"/>
    <w:rsid w:val="00540DB8"/>
    <w:rsid w:val="00541993"/>
    <w:rsid w:val="00550A16"/>
    <w:rsid w:val="00550F5C"/>
    <w:rsid w:val="0055260A"/>
    <w:rsid w:val="00552979"/>
    <w:rsid w:val="00556144"/>
    <w:rsid w:val="00556C02"/>
    <w:rsid w:val="005618C3"/>
    <w:rsid w:val="0056617C"/>
    <w:rsid w:val="005676EF"/>
    <w:rsid w:val="00576828"/>
    <w:rsid w:val="005A0BF7"/>
    <w:rsid w:val="005A1CE4"/>
    <w:rsid w:val="005A337F"/>
    <w:rsid w:val="005A3906"/>
    <w:rsid w:val="005A5944"/>
    <w:rsid w:val="005A5B03"/>
    <w:rsid w:val="005A7DE5"/>
    <w:rsid w:val="005B320A"/>
    <w:rsid w:val="005B3C56"/>
    <w:rsid w:val="005B7BE8"/>
    <w:rsid w:val="005D05FA"/>
    <w:rsid w:val="005D4F87"/>
    <w:rsid w:val="005D65AC"/>
    <w:rsid w:val="005D6990"/>
    <w:rsid w:val="005E2CA6"/>
    <w:rsid w:val="005E42DB"/>
    <w:rsid w:val="005E6F24"/>
    <w:rsid w:val="005F0CB1"/>
    <w:rsid w:val="005F36EC"/>
    <w:rsid w:val="005F4F2C"/>
    <w:rsid w:val="005F7375"/>
    <w:rsid w:val="00600711"/>
    <w:rsid w:val="0060263D"/>
    <w:rsid w:val="00610791"/>
    <w:rsid w:val="00612C58"/>
    <w:rsid w:val="006213F9"/>
    <w:rsid w:val="006220E8"/>
    <w:rsid w:val="00622462"/>
    <w:rsid w:val="006261DC"/>
    <w:rsid w:val="00627BCC"/>
    <w:rsid w:val="006314D4"/>
    <w:rsid w:val="00632FDB"/>
    <w:rsid w:val="00633B2C"/>
    <w:rsid w:val="00637A20"/>
    <w:rsid w:val="00637BC2"/>
    <w:rsid w:val="006419E4"/>
    <w:rsid w:val="00642A7D"/>
    <w:rsid w:val="00644555"/>
    <w:rsid w:val="00645E80"/>
    <w:rsid w:val="006461AE"/>
    <w:rsid w:val="00647309"/>
    <w:rsid w:val="00647457"/>
    <w:rsid w:val="00647B24"/>
    <w:rsid w:val="006546EE"/>
    <w:rsid w:val="00654A9D"/>
    <w:rsid w:val="00654C03"/>
    <w:rsid w:val="0065658B"/>
    <w:rsid w:val="0066528F"/>
    <w:rsid w:val="006654A7"/>
    <w:rsid w:val="00671379"/>
    <w:rsid w:val="0067183F"/>
    <w:rsid w:val="00681667"/>
    <w:rsid w:val="00692CD1"/>
    <w:rsid w:val="00694EC5"/>
    <w:rsid w:val="006A2D89"/>
    <w:rsid w:val="006B2CAB"/>
    <w:rsid w:val="006B3410"/>
    <w:rsid w:val="006B73CA"/>
    <w:rsid w:val="006C16F4"/>
    <w:rsid w:val="006C1E76"/>
    <w:rsid w:val="006C6837"/>
    <w:rsid w:val="006C6CD8"/>
    <w:rsid w:val="006C6DE1"/>
    <w:rsid w:val="006D068E"/>
    <w:rsid w:val="006D3E8E"/>
    <w:rsid w:val="006D7461"/>
    <w:rsid w:val="006E0064"/>
    <w:rsid w:val="006E7F18"/>
    <w:rsid w:val="006F4305"/>
    <w:rsid w:val="006F5445"/>
    <w:rsid w:val="00700894"/>
    <w:rsid w:val="0070437F"/>
    <w:rsid w:val="00707BA9"/>
    <w:rsid w:val="00713CE0"/>
    <w:rsid w:val="00724785"/>
    <w:rsid w:val="00732C40"/>
    <w:rsid w:val="00734548"/>
    <w:rsid w:val="00735B8C"/>
    <w:rsid w:val="007374FF"/>
    <w:rsid w:val="00742089"/>
    <w:rsid w:val="00752661"/>
    <w:rsid w:val="00765581"/>
    <w:rsid w:val="0076699E"/>
    <w:rsid w:val="007725F5"/>
    <w:rsid w:val="0078203B"/>
    <w:rsid w:val="00782A9A"/>
    <w:rsid w:val="00784439"/>
    <w:rsid w:val="00786A14"/>
    <w:rsid w:val="007904DC"/>
    <w:rsid w:val="007918DB"/>
    <w:rsid w:val="007A0DB8"/>
    <w:rsid w:val="007A2711"/>
    <w:rsid w:val="007B5F58"/>
    <w:rsid w:val="007B67D4"/>
    <w:rsid w:val="007C1604"/>
    <w:rsid w:val="007C5271"/>
    <w:rsid w:val="007D032B"/>
    <w:rsid w:val="007D326C"/>
    <w:rsid w:val="007F05CC"/>
    <w:rsid w:val="007F5A7E"/>
    <w:rsid w:val="007F7148"/>
    <w:rsid w:val="00801055"/>
    <w:rsid w:val="00814B10"/>
    <w:rsid w:val="00816F4A"/>
    <w:rsid w:val="00817034"/>
    <w:rsid w:val="00822269"/>
    <w:rsid w:val="008230B1"/>
    <w:rsid w:val="00824DD0"/>
    <w:rsid w:val="008254C9"/>
    <w:rsid w:val="00831B0D"/>
    <w:rsid w:val="00834C36"/>
    <w:rsid w:val="00840681"/>
    <w:rsid w:val="008429CB"/>
    <w:rsid w:val="00851B6A"/>
    <w:rsid w:val="0085203A"/>
    <w:rsid w:val="00854896"/>
    <w:rsid w:val="008616CE"/>
    <w:rsid w:val="008665F4"/>
    <w:rsid w:val="00870B52"/>
    <w:rsid w:val="00876640"/>
    <w:rsid w:val="00877755"/>
    <w:rsid w:val="00880E30"/>
    <w:rsid w:val="008816BD"/>
    <w:rsid w:val="00897F9E"/>
    <w:rsid w:val="008A25B6"/>
    <w:rsid w:val="008A52F5"/>
    <w:rsid w:val="008A5446"/>
    <w:rsid w:val="008B09AE"/>
    <w:rsid w:val="008B0CDD"/>
    <w:rsid w:val="008B1AD0"/>
    <w:rsid w:val="008B23ED"/>
    <w:rsid w:val="008B6F25"/>
    <w:rsid w:val="008B7A3A"/>
    <w:rsid w:val="008C2FCB"/>
    <w:rsid w:val="008C4931"/>
    <w:rsid w:val="008C56CA"/>
    <w:rsid w:val="008D6453"/>
    <w:rsid w:val="008E6E20"/>
    <w:rsid w:val="008F01F9"/>
    <w:rsid w:val="008F5E1E"/>
    <w:rsid w:val="00906ED3"/>
    <w:rsid w:val="00906F83"/>
    <w:rsid w:val="00912182"/>
    <w:rsid w:val="00920179"/>
    <w:rsid w:val="009205B2"/>
    <w:rsid w:val="00920626"/>
    <w:rsid w:val="0092173B"/>
    <w:rsid w:val="00923AA1"/>
    <w:rsid w:val="00925C6F"/>
    <w:rsid w:val="00932959"/>
    <w:rsid w:val="00933252"/>
    <w:rsid w:val="009332F8"/>
    <w:rsid w:val="00940180"/>
    <w:rsid w:val="00945566"/>
    <w:rsid w:val="00950CF1"/>
    <w:rsid w:val="009517A0"/>
    <w:rsid w:val="00953171"/>
    <w:rsid w:val="00953185"/>
    <w:rsid w:val="00953ACE"/>
    <w:rsid w:val="00954440"/>
    <w:rsid w:val="009667BB"/>
    <w:rsid w:val="00967B56"/>
    <w:rsid w:val="00971285"/>
    <w:rsid w:val="00980A81"/>
    <w:rsid w:val="00980B65"/>
    <w:rsid w:val="00985BFE"/>
    <w:rsid w:val="009922E3"/>
    <w:rsid w:val="009928D3"/>
    <w:rsid w:val="009930CE"/>
    <w:rsid w:val="009961CE"/>
    <w:rsid w:val="00996B52"/>
    <w:rsid w:val="009A31EB"/>
    <w:rsid w:val="009A622D"/>
    <w:rsid w:val="009A70EC"/>
    <w:rsid w:val="009B5350"/>
    <w:rsid w:val="009C1676"/>
    <w:rsid w:val="009C404A"/>
    <w:rsid w:val="009C4A94"/>
    <w:rsid w:val="009D6C45"/>
    <w:rsid w:val="009E04F5"/>
    <w:rsid w:val="009E1070"/>
    <w:rsid w:val="009E3D1D"/>
    <w:rsid w:val="009E5D23"/>
    <w:rsid w:val="009E5DDC"/>
    <w:rsid w:val="009E6AC1"/>
    <w:rsid w:val="009F3546"/>
    <w:rsid w:val="009F55C7"/>
    <w:rsid w:val="00A042B5"/>
    <w:rsid w:val="00A112D6"/>
    <w:rsid w:val="00A13D65"/>
    <w:rsid w:val="00A2528C"/>
    <w:rsid w:val="00A2623A"/>
    <w:rsid w:val="00A451EB"/>
    <w:rsid w:val="00A46EE1"/>
    <w:rsid w:val="00A50424"/>
    <w:rsid w:val="00A55759"/>
    <w:rsid w:val="00A60155"/>
    <w:rsid w:val="00A60AD5"/>
    <w:rsid w:val="00A62A6C"/>
    <w:rsid w:val="00A712E1"/>
    <w:rsid w:val="00A74328"/>
    <w:rsid w:val="00A760DC"/>
    <w:rsid w:val="00A775BE"/>
    <w:rsid w:val="00A831E4"/>
    <w:rsid w:val="00A86726"/>
    <w:rsid w:val="00A9065B"/>
    <w:rsid w:val="00A91031"/>
    <w:rsid w:val="00A977B9"/>
    <w:rsid w:val="00AA2D1F"/>
    <w:rsid w:val="00AA3E23"/>
    <w:rsid w:val="00AB1403"/>
    <w:rsid w:val="00AB4789"/>
    <w:rsid w:val="00AB741A"/>
    <w:rsid w:val="00AC0877"/>
    <w:rsid w:val="00AD1588"/>
    <w:rsid w:val="00AE1B1E"/>
    <w:rsid w:val="00AE2AA4"/>
    <w:rsid w:val="00AE3605"/>
    <w:rsid w:val="00AE48F9"/>
    <w:rsid w:val="00AE4ADD"/>
    <w:rsid w:val="00AE4D58"/>
    <w:rsid w:val="00B040FA"/>
    <w:rsid w:val="00B06E34"/>
    <w:rsid w:val="00B079BE"/>
    <w:rsid w:val="00B1256F"/>
    <w:rsid w:val="00B12DBB"/>
    <w:rsid w:val="00B207F9"/>
    <w:rsid w:val="00B253DC"/>
    <w:rsid w:val="00B27A11"/>
    <w:rsid w:val="00B34ADA"/>
    <w:rsid w:val="00B34E8D"/>
    <w:rsid w:val="00B35726"/>
    <w:rsid w:val="00B42ACF"/>
    <w:rsid w:val="00B504D4"/>
    <w:rsid w:val="00B534A9"/>
    <w:rsid w:val="00B56608"/>
    <w:rsid w:val="00B56CDB"/>
    <w:rsid w:val="00B66CDA"/>
    <w:rsid w:val="00B75EC0"/>
    <w:rsid w:val="00B77AB3"/>
    <w:rsid w:val="00B864C2"/>
    <w:rsid w:val="00B87E86"/>
    <w:rsid w:val="00B928E0"/>
    <w:rsid w:val="00B938A5"/>
    <w:rsid w:val="00B93EC2"/>
    <w:rsid w:val="00B9560E"/>
    <w:rsid w:val="00BA25D5"/>
    <w:rsid w:val="00BA3448"/>
    <w:rsid w:val="00BA4415"/>
    <w:rsid w:val="00BA6D59"/>
    <w:rsid w:val="00BB0CD3"/>
    <w:rsid w:val="00BB227E"/>
    <w:rsid w:val="00BD1167"/>
    <w:rsid w:val="00BD217E"/>
    <w:rsid w:val="00BD3DD3"/>
    <w:rsid w:val="00BD7F9A"/>
    <w:rsid w:val="00BE0511"/>
    <w:rsid w:val="00BE3819"/>
    <w:rsid w:val="00BE6B2B"/>
    <w:rsid w:val="00BF01C3"/>
    <w:rsid w:val="00BF2144"/>
    <w:rsid w:val="00BF2725"/>
    <w:rsid w:val="00BF632E"/>
    <w:rsid w:val="00C00B22"/>
    <w:rsid w:val="00C04961"/>
    <w:rsid w:val="00C138E7"/>
    <w:rsid w:val="00C1404F"/>
    <w:rsid w:val="00C20570"/>
    <w:rsid w:val="00C21DEE"/>
    <w:rsid w:val="00C3227B"/>
    <w:rsid w:val="00C3718C"/>
    <w:rsid w:val="00C373B2"/>
    <w:rsid w:val="00C43DFD"/>
    <w:rsid w:val="00C4420F"/>
    <w:rsid w:val="00C449FB"/>
    <w:rsid w:val="00C46839"/>
    <w:rsid w:val="00C4743B"/>
    <w:rsid w:val="00C5078D"/>
    <w:rsid w:val="00C51829"/>
    <w:rsid w:val="00C56903"/>
    <w:rsid w:val="00C67763"/>
    <w:rsid w:val="00C70BBC"/>
    <w:rsid w:val="00C74109"/>
    <w:rsid w:val="00C774EA"/>
    <w:rsid w:val="00C81178"/>
    <w:rsid w:val="00C84C3B"/>
    <w:rsid w:val="00C84E04"/>
    <w:rsid w:val="00C95F9D"/>
    <w:rsid w:val="00C975EE"/>
    <w:rsid w:val="00CB7AAE"/>
    <w:rsid w:val="00CD1101"/>
    <w:rsid w:val="00CD73FC"/>
    <w:rsid w:val="00CD7C20"/>
    <w:rsid w:val="00CE10C6"/>
    <w:rsid w:val="00CF2055"/>
    <w:rsid w:val="00CF3B76"/>
    <w:rsid w:val="00CF3C87"/>
    <w:rsid w:val="00CF7112"/>
    <w:rsid w:val="00D02912"/>
    <w:rsid w:val="00D070D2"/>
    <w:rsid w:val="00D1236C"/>
    <w:rsid w:val="00D12C82"/>
    <w:rsid w:val="00D15F78"/>
    <w:rsid w:val="00D242BC"/>
    <w:rsid w:val="00D2467D"/>
    <w:rsid w:val="00D32071"/>
    <w:rsid w:val="00D33977"/>
    <w:rsid w:val="00D33C03"/>
    <w:rsid w:val="00D419A3"/>
    <w:rsid w:val="00D43729"/>
    <w:rsid w:val="00D456C6"/>
    <w:rsid w:val="00D55843"/>
    <w:rsid w:val="00D56E12"/>
    <w:rsid w:val="00D64251"/>
    <w:rsid w:val="00D64CDA"/>
    <w:rsid w:val="00D84868"/>
    <w:rsid w:val="00D85867"/>
    <w:rsid w:val="00D915AE"/>
    <w:rsid w:val="00D91614"/>
    <w:rsid w:val="00D953AB"/>
    <w:rsid w:val="00D954EE"/>
    <w:rsid w:val="00DA1069"/>
    <w:rsid w:val="00DA5572"/>
    <w:rsid w:val="00DA5ED4"/>
    <w:rsid w:val="00DB2E8F"/>
    <w:rsid w:val="00DC162D"/>
    <w:rsid w:val="00DC3EEC"/>
    <w:rsid w:val="00DC5F76"/>
    <w:rsid w:val="00DD0EB1"/>
    <w:rsid w:val="00DD46C2"/>
    <w:rsid w:val="00DE120D"/>
    <w:rsid w:val="00DE3D4E"/>
    <w:rsid w:val="00DF4FD4"/>
    <w:rsid w:val="00DF67EF"/>
    <w:rsid w:val="00E02D32"/>
    <w:rsid w:val="00E1145D"/>
    <w:rsid w:val="00E14678"/>
    <w:rsid w:val="00E17947"/>
    <w:rsid w:val="00E21040"/>
    <w:rsid w:val="00E23375"/>
    <w:rsid w:val="00E26098"/>
    <w:rsid w:val="00E33233"/>
    <w:rsid w:val="00E40730"/>
    <w:rsid w:val="00E4300E"/>
    <w:rsid w:val="00E51C8D"/>
    <w:rsid w:val="00E536A4"/>
    <w:rsid w:val="00E54A74"/>
    <w:rsid w:val="00E91E91"/>
    <w:rsid w:val="00E91FC1"/>
    <w:rsid w:val="00E92ADD"/>
    <w:rsid w:val="00EA7B7C"/>
    <w:rsid w:val="00EB174C"/>
    <w:rsid w:val="00EB7AC2"/>
    <w:rsid w:val="00EC16AF"/>
    <w:rsid w:val="00EC57A5"/>
    <w:rsid w:val="00EC78E3"/>
    <w:rsid w:val="00EC7E99"/>
    <w:rsid w:val="00ED4AD0"/>
    <w:rsid w:val="00ED5FC6"/>
    <w:rsid w:val="00ED7A5B"/>
    <w:rsid w:val="00EE4D8C"/>
    <w:rsid w:val="00EE6FDB"/>
    <w:rsid w:val="00EF6FE4"/>
    <w:rsid w:val="00F00399"/>
    <w:rsid w:val="00F05C89"/>
    <w:rsid w:val="00F07FCB"/>
    <w:rsid w:val="00F10A7A"/>
    <w:rsid w:val="00F120AE"/>
    <w:rsid w:val="00F157DA"/>
    <w:rsid w:val="00F1666A"/>
    <w:rsid w:val="00F16694"/>
    <w:rsid w:val="00F23B3F"/>
    <w:rsid w:val="00F326B9"/>
    <w:rsid w:val="00F343B1"/>
    <w:rsid w:val="00F35624"/>
    <w:rsid w:val="00F35F19"/>
    <w:rsid w:val="00F36C4E"/>
    <w:rsid w:val="00F47319"/>
    <w:rsid w:val="00F500EF"/>
    <w:rsid w:val="00F52DF8"/>
    <w:rsid w:val="00F55C6B"/>
    <w:rsid w:val="00F62D44"/>
    <w:rsid w:val="00F67999"/>
    <w:rsid w:val="00F73177"/>
    <w:rsid w:val="00F77AF4"/>
    <w:rsid w:val="00F822DF"/>
    <w:rsid w:val="00F84EDB"/>
    <w:rsid w:val="00F867A8"/>
    <w:rsid w:val="00F874CA"/>
    <w:rsid w:val="00F9243B"/>
    <w:rsid w:val="00F94EEA"/>
    <w:rsid w:val="00F96C8C"/>
    <w:rsid w:val="00FA049B"/>
    <w:rsid w:val="00FA172F"/>
    <w:rsid w:val="00FA26A6"/>
    <w:rsid w:val="00FA4EC5"/>
    <w:rsid w:val="00FB42DA"/>
    <w:rsid w:val="00FB4D7A"/>
    <w:rsid w:val="00FB5797"/>
    <w:rsid w:val="00FC119A"/>
    <w:rsid w:val="00FC23B2"/>
    <w:rsid w:val="00FC40F7"/>
    <w:rsid w:val="00FC5ECB"/>
    <w:rsid w:val="00FD19E2"/>
    <w:rsid w:val="00FD6C3C"/>
    <w:rsid w:val="00FD7B10"/>
    <w:rsid w:val="00FF42C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49167B8"/>
  <w15:chartTrackingRefBased/>
  <w15:docId w15:val="{3A078B21-2D98-4A59-985D-D8360991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D456C6"/>
    <w:rPr>
      <w:b/>
      <w:sz w:val="24"/>
      <w:szCs w:val="24"/>
    </w:rPr>
  </w:style>
  <w:style w:type="paragraph" w:customStyle="1" w:styleId="Baslik2">
    <w:name w:val="Baslik 2"/>
    <w:basedOn w:val="Normal"/>
    <w:next w:val="Normal"/>
    <w:rsid w:val="00DA5572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GvdeMetni2">
    <w:name w:val="Body Text 2"/>
    <w:basedOn w:val="Normal"/>
    <w:rsid w:val="00DA5572"/>
    <w:pPr>
      <w:spacing w:after="120" w:line="480" w:lineRule="auto"/>
    </w:pPr>
  </w:style>
  <w:style w:type="character" w:styleId="Gl">
    <w:name w:val="Strong"/>
    <w:qFormat/>
    <w:rsid w:val="00CE10C6"/>
    <w:rPr>
      <w:b/>
      <w:bCs/>
    </w:rPr>
  </w:style>
  <w:style w:type="character" w:customStyle="1" w:styleId="stBilgiChar">
    <w:name w:val="Üst Bilgi Char"/>
    <w:link w:val="stBilgi"/>
    <w:uiPriority w:val="99"/>
    <w:rsid w:val="00932959"/>
    <w:rPr>
      <w:rFonts w:ascii="Arial" w:hAnsi="Arial"/>
    </w:rPr>
  </w:style>
  <w:style w:type="character" w:customStyle="1" w:styleId="AltBilgiChar1">
    <w:name w:val="Alt Bilgi Char1"/>
    <w:link w:val="AltBilgi"/>
    <w:uiPriority w:val="99"/>
    <w:rsid w:val="006F5445"/>
    <w:rPr>
      <w:rFonts w:ascii="Arial" w:hAnsi="Arial"/>
    </w:rPr>
  </w:style>
  <w:style w:type="paragraph" w:customStyle="1" w:styleId="AltBilgi1">
    <w:name w:val="Alt Bilgi1"/>
    <w:basedOn w:val="Normal"/>
    <w:link w:val="AltBilgiChar"/>
    <w:uiPriority w:val="99"/>
    <w:rsid w:val="00692C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692CD1"/>
    <w:rPr>
      <w:rFonts w:ascii="Arial" w:hAnsi="Arial"/>
    </w:rPr>
  </w:style>
  <w:style w:type="paragraph" w:styleId="ListeParagraf">
    <w:name w:val="List Paragraph"/>
    <w:basedOn w:val="Normal"/>
    <w:uiPriority w:val="34"/>
    <w:qFormat/>
    <w:rsid w:val="00BB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10</cp:revision>
  <cp:lastPrinted>2018-10-25T08:39:00Z</cp:lastPrinted>
  <dcterms:created xsi:type="dcterms:W3CDTF">2018-10-19T10:13:00Z</dcterms:created>
  <dcterms:modified xsi:type="dcterms:W3CDTF">2024-06-12T13:57:00Z</dcterms:modified>
</cp:coreProperties>
</file>