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456C6" w:rsidRPr="00025182" w:rsidTr="008C2FCB">
        <w:trPr>
          <w:trHeight w:val="11740"/>
        </w:trPr>
        <w:tc>
          <w:tcPr>
            <w:tcW w:w="10915" w:type="dxa"/>
          </w:tcPr>
          <w:p w:rsidR="00816F4A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cs="Arial"/>
                <w:b/>
                <w:bCs/>
                <w:color w:val="000000"/>
              </w:rPr>
            </w:pP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1. AMAÇ</w:t>
            </w:r>
          </w:p>
          <w:p w:rsidR="00816F4A" w:rsidRPr="00610FED" w:rsidRDefault="00A966ED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sz w:val="24"/>
                <w:szCs w:val="24"/>
              </w:rPr>
              <w:t>Antalya Bilim Üniversitesinde</w:t>
            </w:r>
            <w:r w:rsidR="00816F4A" w:rsidRPr="00610F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uygulanmakta olan 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yönetim sistemlerinin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yeterlilik, uygunluk ve etkinlik açısından tarafsız bir gözle incelenerek uygunsuzlukların tespit edilmesi, tespit edilen uygunsuzluklara yönelik düzeltici/önleyici/iyileştirici-geliştirici faaliyetlerin planlanması ve uygulanması ile ilgili yöntem ve sorumlulukları belirlemektir.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 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2.KAPSAM</w:t>
            </w:r>
          </w:p>
          <w:p w:rsidR="00816F4A" w:rsidRPr="00610FED" w:rsidRDefault="00A966ED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sz w:val="24"/>
                <w:szCs w:val="24"/>
              </w:rPr>
              <w:t>Antalya Bilim Üniversitesinde</w:t>
            </w:r>
            <w:r w:rsidR="00816F4A" w:rsidRPr="00610FED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sz w:val="24"/>
                <w:szCs w:val="24"/>
              </w:rPr>
              <w:t xml:space="preserve">bulunan tüm </w:t>
            </w:r>
            <w:r w:rsidR="008C2FCB" w:rsidRPr="00610FED">
              <w:rPr>
                <w:rFonts w:ascii="Arial Narrow" w:hAnsi="Arial Narrow" w:cs="Arial"/>
                <w:sz w:val="24"/>
                <w:szCs w:val="24"/>
              </w:rPr>
              <w:t>süreçleri</w:t>
            </w:r>
            <w:r w:rsidR="00816F4A" w:rsidRPr="00610FED">
              <w:rPr>
                <w:rFonts w:ascii="Arial Narrow" w:hAnsi="Arial Narrow" w:cs="Arial"/>
                <w:sz w:val="24"/>
                <w:szCs w:val="24"/>
              </w:rPr>
              <w:t xml:space="preserve"> kapsar.</w:t>
            </w:r>
            <w:r w:rsidR="00694EC5" w:rsidRPr="00610FED">
              <w:rPr>
                <w:rFonts w:ascii="Arial Narrow" w:hAnsi="Arial Narrow" w:cs="Arial"/>
                <w:sz w:val="24"/>
                <w:szCs w:val="24"/>
              </w:rPr>
              <w:t>(ISO 9001</w:t>
            </w:r>
            <w:r w:rsidR="009E1326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9E1326" w:rsidRPr="003F7CD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ISO </w:t>
            </w:r>
            <w:proofErr w:type="gramStart"/>
            <w:r w:rsidR="009E1326" w:rsidRPr="003F7CD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22000 </w:t>
            </w:r>
            <w:r w:rsidR="0076699E" w:rsidRPr="003F7CD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süreçleri</w:t>
            </w:r>
            <w:proofErr w:type="gramEnd"/>
            <w:r w:rsidR="0076699E" w:rsidRPr="00610FED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3.SORUMLULUKLAR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3.</w:t>
            </w:r>
            <w:r w:rsidR="0002344C"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1.Yönetim Temsilcisi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Kurum içi ve kurum dışı denetimlerin yapılabilmesi, gerekli eğitim ve beceriye sahip 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yönetim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sistemi denetçilerinin tespit edilmesi, eğitilmesi, geliştirilmesi için gerekli kaynakların ayrılmasından, yapılan yönetimin gözden geçirmesi toplantısında iç denetim raporlarının incelenmesinden sorumludur.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3.2 </w:t>
            </w:r>
            <w:r w:rsidR="00F552DD"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KAO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İç denetimlerde tespit edilen eksiklik ve uygunsuzlukların giderilmesinden ve uygunsuzluklarla ilgili açılan düzeltici/önleyici/iyileştirici-geliştirici faaliyetlerin takibinden ve raporlanmasından sorumludur.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3.3 Denetçi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İç denetim planı doğrultusunda, ilgili iç denetim soru listeleri ile denetimin gerçekleştirilmesinden, denetim sonucunda iç denetim raporunun hazırlanmasından sorumludur. 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4. TANIMLAR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4.1 </w:t>
            </w:r>
            <w:r w:rsidR="0002344C"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Yönetim</w:t>
            </w: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Sistemi Denetimi</w:t>
            </w:r>
          </w:p>
          <w:p w:rsidR="00816F4A" w:rsidRPr="00610FED" w:rsidRDefault="00A966ED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Uygulanmakta olan yönetim sistemlerine ait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faaliyetlerin, planlanmış düzenlemelere uyup uymadığının, bu düzenlemelerin etkin olarak uygulanıp uygulanmadığının hazırlanmış soru listelerine göre kontrol edildiği denetimlerdir.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4.2 Denetçi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>Denetçi eğiti</w:t>
            </w:r>
            <w:r w:rsidR="00B928E0" w:rsidRPr="00610FED">
              <w:rPr>
                <w:rFonts w:ascii="Arial Narrow" w:hAnsi="Arial Narrow" w:cs="Arial"/>
                <w:bCs/>
                <w:sz w:val="24"/>
                <w:szCs w:val="24"/>
              </w:rPr>
              <w:t xml:space="preserve">mi almış ve ilgili denetimleri </w:t>
            </w: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>soru listelerini kullanarak gerçekleştiren personeldir.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4.3 Denetim Ekibi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Bir denetimi gerçekleştiren, iki veya daha fazla denetçiden oluşan denetçi grubudur.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sz w:val="24"/>
                <w:szCs w:val="24"/>
              </w:rPr>
              <w:t>4.4.Major Hata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sz w:val="24"/>
                <w:szCs w:val="24"/>
              </w:rPr>
              <w:t>Standardın sorgulanan maddesin</w:t>
            </w:r>
            <w:r w:rsidR="00D64CDA" w:rsidRPr="00610FED">
              <w:rPr>
                <w:rFonts w:ascii="Arial Narrow" w:hAnsi="Arial Narrow" w:cs="Arial"/>
                <w:sz w:val="24"/>
                <w:szCs w:val="24"/>
              </w:rPr>
              <w:t>in hiçbir surette işletilmediği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A966ED" w:rsidRPr="00610FED">
              <w:rPr>
                <w:rFonts w:ascii="Arial Narrow" w:hAnsi="Arial Narrow" w:cs="Arial"/>
                <w:sz w:val="24"/>
                <w:szCs w:val="24"/>
              </w:rPr>
              <w:t xml:space="preserve">ya da aynı madde içerisinde birden fazla minör uygunsuzluğu barındıran 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>sistemi riske sokacak</w:t>
            </w:r>
            <w:r w:rsidR="00A966ED" w:rsidRPr="00610FED">
              <w:rPr>
                <w:rFonts w:ascii="Arial Narrow" w:hAnsi="Arial Narrow" w:cs="Arial"/>
                <w:sz w:val="24"/>
                <w:szCs w:val="24"/>
              </w:rPr>
              <w:t xml:space="preserve"> ve yürütülmesini engelleyecek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 xml:space="preserve"> büyük uygunsuzluklardır.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sz w:val="24"/>
                <w:szCs w:val="24"/>
              </w:rPr>
              <w:t>4.5.Minör Hata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sz w:val="24"/>
                <w:szCs w:val="24"/>
              </w:rPr>
              <w:t>Standardın sorgulanan maddesinin sistemi riske sokmayacak</w:t>
            </w:r>
            <w:r w:rsidR="0037044F" w:rsidRPr="00610F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>uygulama ya da dokümantasyon eksiklikler</w:t>
            </w:r>
            <w:r w:rsidR="0037044F" w:rsidRPr="00610FED">
              <w:rPr>
                <w:rFonts w:ascii="Arial Narrow" w:hAnsi="Arial Narrow" w:cs="Arial"/>
                <w:sz w:val="24"/>
                <w:szCs w:val="24"/>
              </w:rPr>
              <w:t>i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>dir. Uygulamada olup dokümantasyonda tanımlanmayan</w:t>
            </w:r>
            <w:r w:rsidR="0037044F" w:rsidRPr="00610FED">
              <w:rPr>
                <w:rFonts w:ascii="Arial Narrow" w:hAnsi="Arial Narrow" w:cs="Arial"/>
                <w:sz w:val="24"/>
                <w:szCs w:val="24"/>
              </w:rPr>
              <w:t>/eksik tanımlanan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 xml:space="preserve"> ya da dokümantasyonda tanımlı olup uygulamada eksiklik olan küçük ve kısa sürede giderilebilir uygunsuzluklardır.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sz w:val="24"/>
                <w:szCs w:val="24"/>
              </w:rPr>
              <w:t>4.6.Gözlem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Herhangi bir uygunsuzluk olarak tanımlanmayan,</w:t>
            </w:r>
            <w:r w:rsidR="00FC23B2"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denetçilerin mevcut tecrübelerine göre olması tavsiye edilen ancak bir sonraki denetime kadar gerçekleştirilmediği durumlarda uygunsuzluğa dönüşebilecek durumlardır.</w:t>
            </w:r>
          </w:p>
          <w:p w:rsidR="0076699E" w:rsidRPr="00610FED" w:rsidRDefault="0076699E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4.7.Bağımsız Taşeron Baş Denetçi</w:t>
            </w: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</w:p>
          <w:p w:rsidR="0076699E" w:rsidRDefault="0076699E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Kurumun iç denetim faaliyetlerini </w:t>
            </w:r>
            <w:r w:rsidR="0002344C"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iç denetçileri ile birlikte </w:t>
            </w:r>
            <w:r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gerçekleştirmek üzere görevlendirilen</w:t>
            </w:r>
            <w:r w:rsidR="0002344C"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/görevlendirilebilen</w:t>
            </w:r>
            <w:r w:rsidRPr="00610FED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sözleşmeli bağımsız baş denetçidir.</w:t>
            </w:r>
          </w:p>
          <w:p w:rsidR="00BC15C9" w:rsidRDefault="00BC15C9" w:rsidP="00BC15C9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BC15C9" w:rsidRDefault="00BC15C9" w:rsidP="00BC15C9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BC15C9" w:rsidRDefault="00BC15C9" w:rsidP="00BC15C9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C15C9">
              <w:rPr>
                <w:rFonts w:ascii="Arial Narrow" w:hAnsi="Arial Narrow" w:cs="Arial"/>
                <w:b/>
                <w:bCs/>
                <w:sz w:val="24"/>
                <w:szCs w:val="24"/>
              </w:rPr>
              <w:t>4.8. İç Denetim İtiraz Komisyonu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  <w:p w:rsidR="00694EC5" w:rsidRPr="00BC15C9" w:rsidRDefault="00BC15C9" w:rsidP="00BC15C9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BC15C9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Kurumda gerçekleşen iç denetimler sonrası yazılan raporlara  itirazları değerlendirmek üzere baş denetçilerden oluşan komisyondur. </w:t>
            </w:r>
          </w:p>
          <w:p w:rsidR="00694EC5" w:rsidRPr="00610FED" w:rsidRDefault="00694EC5" w:rsidP="00A966ED">
            <w:pPr>
              <w:tabs>
                <w:tab w:val="left" w:pos="426"/>
                <w:tab w:val="left" w:pos="10137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816F4A" w:rsidRPr="00610FED" w:rsidRDefault="00816F4A" w:rsidP="00A966ED">
            <w:pPr>
              <w:tabs>
                <w:tab w:val="left" w:pos="426"/>
                <w:tab w:val="left" w:pos="10137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5. İLGİLİ FORM VE DOKÜMANLAR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016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İ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ç Denetim Planı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FR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-0</w:t>
            </w:r>
            <w:r w:rsidR="0047579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021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İç Denetçi Listesi</w:t>
            </w:r>
          </w:p>
          <w:p w:rsidR="0002344C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F47319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022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ISO 9001</w:t>
            </w:r>
            <w:r w:rsidR="002801D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– ISO 10002 </w:t>
            </w:r>
            <w:r w:rsidR="00F47319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İç D</w:t>
            </w:r>
            <w:r w:rsidR="00B87E86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enetim</w:t>
            </w:r>
            <w:r w:rsidR="00F47319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Soru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Listesi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027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İç Denetim Raporu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010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üzeltici Faaliyet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Formu</w:t>
            </w:r>
          </w:p>
          <w:p w:rsidR="0037044F" w:rsidRPr="00610FED" w:rsidRDefault="00475790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KY-FR-0009</w:t>
            </w:r>
            <w:r w:rsidR="0037044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Neden Sonuç Formu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40692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PR-00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Düzeltici Faaliyetler Prosedürü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sz w:val="24"/>
                <w:szCs w:val="24"/>
              </w:rPr>
              <w:t>KY-</w:t>
            </w:r>
            <w:r w:rsidR="002B53F0" w:rsidRPr="00610FED">
              <w:rPr>
                <w:rFonts w:ascii="Arial Narrow" w:hAnsi="Arial Narrow" w:cs="Arial"/>
                <w:sz w:val="24"/>
                <w:szCs w:val="24"/>
              </w:rPr>
              <w:t>SR-</w:t>
            </w:r>
            <w:r w:rsidR="00694EC5" w:rsidRPr="00610FED">
              <w:rPr>
                <w:rFonts w:ascii="Arial Narrow" w:hAnsi="Arial Narrow" w:cs="Arial"/>
                <w:sz w:val="24"/>
                <w:szCs w:val="24"/>
              </w:rPr>
              <w:t>00</w:t>
            </w:r>
            <w:r w:rsidRPr="00610FED">
              <w:rPr>
                <w:rFonts w:ascii="Arial Narrow" w:hAnsi="Arial Narrow" w:cs="Arial"/>
                <w:sz w:val="24"/>
                <w:szCs w:val="24"/>
              </w:rPr>
              <w:t>01</w:t>
            </w:r>
            <w:r w:rsidR="00694EC5" w:rsidRPr="00610F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6CA7">
              <w:rPr>
                <w:rFonts w:ascii="Arial Narrow" w:hAnsi="Arial Narrow" w:cs="Arial"/>
                <w:color w:val="000000"/>
                <w:sz w:val="24"/>
                <w:szCs w:val="24"/>
              </w:rPr>
              <w:t>Kalite ve Şikâ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yet Yönetimi</w:t>
            </w:r>
            <w:r w:rsidR="002B53F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Süreci</w:t>
            </w:r>
          </w:p>
          <w:p w:rsidR="0076699E" w:rsidRPr="00610FED" w:rsidRDefault="0076699E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6. KISALTMALAR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YT:</w:t>
            </w:r>
            <w:r w:rsidR="005D6990" w:rsidRPr="00610FE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FD6C3C" w:rsidRPr="00610FED">
              <w:rPr>
                <w:rFonts w:ascii="Arial Narrow" w:hAnsi="Arial Narrow" w:cs="Arial"/>
                <w:bCs/>
                <w:sz w:val="24"/>
                <w:szCs w:val="24"/>
              </w:rPr>
              <w:t>Yönetim</w:t>
            </w:r>
            <w:r w:rsidR="00B504D4" w:rsidRPr="00610FE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>Temsilcisi</w:t>
            </w:r>
          </w:p>
          <w:p w:rsidR="00816F4A" w:rsidRPr="00610FED" w:rsidRDefault="00F552DD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KAO</w:t>
            </w:r>
            <w:r w:rsidR="002B53F0"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="0037044F"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>Kalite Ofisi</w:t>
            </w:r>
            <w:r w:rsidR="00FD6C3C" w:rsidRPr="00610FE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2B53F0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ABÜ</w:t>
            </w:r>
            <w:r w:rsidR="002B53F0"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>Antalya Bilim</w:t>
            </w:r>
            <w:r w:rsidR="0002344C" w:rsidRPr="00610FED">
              <w:rPr>
                <w:rFonts w:ascii="Arial Narrow" w:hAnsi="Arial Narrow" w:cs="Arial"/>
                <w:bCs/>
                <w:sz w:val="24"/>
                <w:szCs w:val="24"/>
              </w:rPr>
              <w:t xml:space="preserve"> Üniversitesi</w:t>
            </w:r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DF:</w:t>
            </w:r>
            <w:r w:rsidRPr="00610FED">
              <w:rPr>
                <w:rFonts w:ascii="Arial Narrow" w:hAnsi="Arial Narrow" w:cs="Arial"/>
                <w:bCs/>
                <w:sz w:val="24"/>
                <w:szCs w:val="24"/>
              </w:rPr>
              <w:t xml:space="preserve"> Düzeltici Faaliyet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7.UYGULAMA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7.1 İç Denetçi Eğitiminin Alınması ve İç Denetçilerin Belirlenmesi</w:t>
            </w:r>
          </w:p>
          <w:p w:rsidR="00816F4A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610FED">
              <w:rPr>
                <w:rFonts w:ascii="Arial Narrow" w:hAnsi="Arial Narrow" w:cs="Arial"/>
                <w:sz w:val="24"/>
                <w:szCs w:val="24"/>
              </w:rPr>
              <w:t>ABÜ’</w:t>
            </w:r>
            <w:r w:rsidR="002B53F0" w:rsidRPr="00610FED">
              <w:rPr>
                <w:rFonts w:ascii="Arial Narrow" w:hAnsi="Arial Narrow" w:cs="Arial"/>
                <w:sz w:val="24"/>
                <w:szCs w:val="24"/>
              </w:rPr>
              <w:t>de</w:t>
            </w:r>
            <w:proofErr w:type="spellEnd"/>
            <w:r w:rsidR="002B53F0" w:rsidRPr="00610F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sz w:val="24"/>
                <w:szCs w:val="24"/>
              </w:rPr>
              <w:t xml:space="preserve">kurum içerisinde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gerçekleştirilecek olan iç denetim planı yapılmadan önce,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aktif çalışabilecek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kaç adet 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iç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denetçi olduğu </w:t>
            </w:r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YT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tarafından tespit edilir. Eğer 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denetim yapabilecek nitelikte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denetçi sayısı ikiden az ise; </w:t>
            </w:r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YT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tarafından, 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kurum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içinde denetçi olmaya gönüllü olan ya da olması muhtemel personele iç denetçi eğitimi aldırılır. </w:t>
            </w: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İç denetçi eğitimi sonrasında bir sınav düzenlenir.</w:t>
            </w:r>
            <w:r w:rsidR="00A831E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Sınav sonucu </w:t>
            </w:r>
            <w:r w:rsidR="008429CB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7</w:t>
            </w:r>
            <w:r w:rsidR="00C70BB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="008429CB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 üzeri </w:t>
            </w:r>
            <w:r w:rsidR="00CF3C87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se;</w:t>
            </w:r>
            <w:r w:rsidR="00CF3C87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kişinin iç denetçi olmasına karar verilir.</w:t>
            </w:r>
            <w:r w:rsidR="00550A16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Sonuç 7</w:t>
            </w:r>
            <w:r w:rsidR="00C70BB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altı ise;</w:t>
            </w:r>
            <w:r w:rsidR="00B27A11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ilgili eğitim tekrarlanır.</w:t>
            </w:r>
            <w:r w:rsidR="00B27A11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Ancak ikinci eğitim sonrasında da sonuç 7</w:t>
            </w:r>
            <w:r w:rsidR="00C70BB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puanın üzerine çı</w:t>
            </w:r>
            <w:r w:rsidR="00475790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kan az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az ise;</w:t>
            </w:r>
            <w:r w:rsidR="00B27A11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eğitimin tekrarı yapılmaz.</w:t>
            </w:r>
            <w:r w:rsidR="00B27A11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Kişi </w:t>
            </w:r>
            <w:r w:rsidR="0002344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kurumda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çalıştığı müddetçe</w:t>
            </w:r>
            <w:r w:rsidR="0037044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bir </w:t>
            </w:r>
            <w:proofErr w:type="gramStart"/>
            <w:r w:rsidR="0037044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daha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iç</w:t>
            </w:r>
            <w:proofErr w:type="gramEnd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denetçi olmaya hak kazanamaz.</w:t>
            </w:r>
            <w:r w:rsidR="00B27A11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Denetçi olmaya hak kazanan personel 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KY-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021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İç 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Denetçi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Listesi Formuna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kaydedilir. </w:t>
            </w:r>
          </w:p>
          <w:p w:rsidR="0002344C" w:rsidRPr="00610FED" w:rsidRDefault="0002344C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816F4A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b/>
                <w:bCs/>
                <w:sz w:val="24"/>
                <w:szCs w:val="24"/>
              </w:rPr>
              <w:t>7.</w:t>
            </w:r>
            <w:r w:rsidRPr="00610FE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600711" w:rsidRPr="00610FE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Denetim Planlama ve Gerçekleştirme</w:t>
            </w:r>
          </w:p>
          <w:p w:rsidR="0037044F" w:rsidRPr="00610FED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Yıl içerisinde gerçekleştirilecek </w:t>
            </w:r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önetim Sistemi iç denetimleri ile ilgili olarak </w:t>
            </w:r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süreç </w:t>
            </w:r>
            <w:proofErr w:type="gramStart"/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bazlı</w:t>
            </w:r>
            <w:proofErr w:type="gramEnd"/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KY-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16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İç Denetim Planı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hazırlanır. </w:t>
            </w:r>
            <w:r w:rsidR="00BC6CA7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Denetimler sırasında 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KY-</w:t>
            </w:r>
            <w:r w:rsidR="00F10A7A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FR-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022 </w:t>
            </w:r>
            <w:r w:rsidR="00A831E4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ISO 9001</w:t>
            </w:r>
            <w:r w:rsidR="002801D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– </w:t>
            </w:r>
            <w:r w:rsidR="002801DF" w:rsidRPr="003F7CD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ISO 10002</w:t>
            </w:r>
            <w:r w:rsidR="007D2869" w:rsidRPr="003F7CD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– ISO 22000</w:t>
            </w:r>
            <w:r w:rsidR="007904DC" w:rsidRPr="003F7CDA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İç</w:t>
            </w:r>
            <w:r w:rsidR="002B53F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Denetim</w:t>
            </w:r>
            <w:r w:rsidR="007904DC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i Soru</w:t>
            </w:r>
            <w:r w:rsidR="002B53F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Listesinden</w:t>
            </w:r>
            <w:r w:rsidR="002801D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faydalanılır.</w:t>
            </w:r>
            <w:r w:rsidR="00AE4ADD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Bu </w:t>
            </w:r>
            <w:r w:rsidR="0037044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soru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liste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lerinde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ilgili yönetim sistem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leri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ne ait tüm maddelerle ilgili sorular mevcuttur.</w:t>
            </w:r>
            <w:r w:rsidR="0055614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37044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Soruların karşılığında alınan cevaplara göre denetim notları yine aynı form üzerinde tutulur.</w:t>
            </w:r>
          </w:p>
          <w:p w:rsidR="0037044F" w:rsidRPr="00610FED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B06E34" w:rsidRPr="00610FED" w:rsidRDefault="006419E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Denetimler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senede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bir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kez gerçekleştirilecek şekilde planlanır. Hazırlanan plan </w:t>
            </w:r>
            <w:r w:rsidR="00F552DD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KAO</w:t>
            </w:r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201CB8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tarafından, </w:t>
            </w:r>
            <w:proofErr w:type="spellStart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YT’ne</w:t>
            </w:r>
            <w:proofErr w:type="spellEnd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onaylatılır.</w:t>
            </w:r>
            <w:r w:rsidR="0055614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6A2D89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Denetim planları hazırlanırken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,</w:t>
            </w:r>
            <w:r w:rsidR="006A2D89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denetçi denetlenen bölümden bağımsız olmalıdır mantığına göre hareket edilir ve hiçbir denetçi kendi sorumlu olduğu bölümü denetleyemez.</w:t>
            </w:r>
            <w:r w:rsidR="00D242BC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Sistem denetimlerinde üst üste yapılan 2 denetimde (2 yıl) uygunsuzluk adedi sürekli </w:t>
            </w:r>
            <w:r w:rsidR="00831B0D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artan bölümlerin denetim periyod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ları </w:t>
            </w:r>
            <w:r w:rsidR="0076699E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YT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‘</w:t>
            </w:r>
            <w:proofErr w:type="spellStart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nin</w:t>
            </w:r>
            <w:proofErr w:type="spellEnd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bilgisi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ve onayı </w:t>
            </w:r>
            <w:proofErr w:type="gramStart"/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dahilinde</w:t>
            </w:r>
            <w:proofErr w:type="gramEnd"/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senede 2 kez olarak sıklaştırılır.</w:t>
            </w:r>
            <w:r w:rsidR="006E006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Sistem denetimlerinde üst üste yapılan </w:t>
            </w:r>
            <w:r w:rsidR="0037044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denetim (3 yıl ) süresinde herhangi bir uygunsuzluk</w:t>
            </w:r>
            <w:r w:rsidR="00BC6CA7">
              <w:rPr>
                <w:rFonts w:ascii="Arial Narrow" w:hAnsi="Arial Narrow" w:cs="Arial"/>
                <w:color w:val="000000"/>
                <w:sz w:val="24"/>
                <w:szCs w:val="24"/>
              </w:rPr>
              <w:t>/gözlem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tespit edilmemiş olan bölümlerin denetim periyodu </w:t>
            </w:r>
            <w:proofErr w:type="spellStart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YT’nin</w:t>
            </w:r>
            <w:proofErr w:type="spellEnd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bilgisi ve onayı </w:t>
            </w:r>
            <w:proofErr w:type="gramStart"/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dahilinde</w:t>
            </w:r>
            <w:proofErr w:type="gramEnd"/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681667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2 yıl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</w:t>
            </w:r>
            <w:r w:rsidR="00681667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a/1</w:t>
            </w:r>
            <w:r w:rsidR="002801D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olarak genişletilir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="002801DF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B06E3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Denetimlerde puanlama sistemi 3,2,1,0 olarak yapılabilir.</w:t>
            </w:r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3…Tam ve uygun</w:t>
            </w:r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2</w:t>
            </w:r>
            <w:proofErr w:type="gramStart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..</w:t>
            </w:r>
            <w:proofErr w:type="gramEnd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Gözlem</w:t>
            </w:r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1…Minör</w:t>
            </w:r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0…</w:t>
            </w:r>
            <w:proofErr w:type="spellStart"/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Major</w:t>
            </w:r>
            <w:proofErr w:type="spellEnd"/>
          </w:p>
          <w:p w:rsidR="00B06E34" w:rsidRPr="00610FED" w:rsidRDefault="00B06E34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1 ve 0 puan alınan kriterler için 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KY-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FR-0</w:t>
            </w:r>
            <w:r w:rsidR="0047579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010</w:t>
            </w:r>
            <w:r w:rsidR="00BC6CA7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DF</w:t>
            </w:r>
            <w:r w:rsidR="0047579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ve KY-FR-0009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Neden Sonuç 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Form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ları</w:t>
            </w:r>
            <w:r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doldurularak gerekli düzeltici faaliyetler başlatılır. </w:t>
            </w:r>
          </w:p>
          <w:p w:rsidR="00816F4A" w:rsidRPr="00610FED" w:rsidRDefault="00FD6C3C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Gözlem verilen uygunsuzluklar</w:t>
            </w:r>
            <w:r w:rsidR="00B06E3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694EC5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bir sonraki denetime kadar giderilmelidir.</w:t>
            </w:r>
            <w:r w:rsidR="00D32071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B06E34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>D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enetimlerinde tespit edilen uygunsuzluklar ile ilgili olarak </w:t>
            </w:r>
            <w:r w:rsidR="0037044F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KY-</w:t>
            </w:r>
            <w:r w:rsidR="00816F4A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</w:t>
            </w:r>
            <w:r w:rsidR="007904DC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-0</w:t>
            </w:r>
            <w:r w:rsidR="00694EC5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0</w:t>
            </w:r>
            <w:r w:rsidR="00475790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04 </w:t>
            </w:r>
            <w:r w:rsidR="00816F4A" w:rsidRPr="00610FED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Düzeltici Faaliyetler Prosedürüne</w:t>
            </w:r>
            <w:r w:rsidR="00816F4A" w:rsidRPr="00610F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göre işlem yapılır.</w:t>
            </w:r>
          </w:p>
          <w:tbl>
            <w:tblPr>
              <w:tblW w:w="101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7"/>
            </w:tblGrid>
            <w:tr w:rsidR="00816F4A" w:rsidRPr="00610FED" w:rsidTr="002C277A">
              <w:trPr>
                <w:trHeight w:val="330"/>
              </w:trPr>
              <w:tc>
                <w:tcPr>
                  <w:tcW w:w="10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6F4A" w:rsidRPr="00610FED" w:rsidRDefault="00816F4A" w:rsidP="00A966ED">
                  <w:pPr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  <w:p w:rsidR="00816F4A" w:rsidRPr="00610FED" w:rsidRDefault="00816F4A" w:rsidP="00A966ED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4E3D78"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06E34"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.Denetim Raporları</w:t>
                  </w:r>
                </w:p>
                <w:p w:rsidR="0037044F" w:rsidRPr="00610FED" w:rsidRDefault="006213F9" w:rsidP="00A966ED">
                  <w:pPr>
                    <w:tabs>
                      <w:tab w:val="left" w:pos="708"/>
                    </w:tabs>
                    <w:ind w:left="426"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Her 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sistem denetim sonrasında denetçi tarafından </w:t>
                  </w:r>
                  <w:r w:rsidR="0037044F" w:rsidRPr="00610FED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KY-</w:t>
                  </w:r>
                  <w:r w:rsidR="00816F4A" w:rsidRPr="00610FED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FR-0</w:t>
                  </w:r>
                  <w:r w:rsidR="00992B59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022</w:t>
                  </w:r>
                  <w:r w:rsidR="00600711" w:rsidRPr="00610FED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16F4A" w:rsidRPr="00610FED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İç Denetim Raporu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hazırlanır.</w:t>
                  </w:r>
                  <w:r w:rsidR="005A7DE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Bu formda denetlenen sistemle ilgili kuvvetli yönler,</w:t>
                  </w:r>
                  <w:r w:rsidR="00FA4EC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uygunsuzluklar ve iyileştirilmesi gereken yönler (gözlemler) kaydedi</w:t>
                  </w:r>
                  <w:r w:rsidR="003F0A53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lir.</w:t>
                  </w:r>
                  <w:r w:rsidR="00FA4EC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  <w:r w:rsidR="003F0A53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Bu form ilgili denetim </w:t>
                  </w:r>
                  <w:r w:rsidR="0037044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soru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listesinin ön tarafına iliştirilir ve onaylanarak </w:t>
                  </w:r>
                  <w:r w:rsidR="00F552DD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KAO</w:t>
                  </w:r>
                  <w:r w:rsidR="00FA4EC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’</w:t>
                  </w:r>
                  <w:r w:rsidR="0037044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  <w:r w:rsidR="00FA4EC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</w:t>
                  </w:r>
                  <w:r w:rsidR="003C6EFC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e</w:t>
                  </w:r>
                  <w:r w:rsidR="00EC16A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gönderilir.</w:t>
                  </w:r>
                  <w:r w:rsidR="00FA4EC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Denetim raporlarına çıkan uygunsuzlukların tanımı,</w:t>
                  </w:r>
                  <w:r w:rsidR="00FA4EC5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  <w:r w:rsidR="00816F4A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ilgili standart madde numarası ve DF raporu numarası da kaydedilir.</w:t>
                  </w:r>
                </w:p>
                <w:p w:rsidR="004B608F" w:rsidRPr="00610FED" w:rsidRDefault="00FA4EC5" w:rsidP="00A966ED">
                  <w:pPr>
                    <w:tabs>
                      <w:tab w:val="left" w:pos="708"/>
                    </w:tabs>
                    <w:ind w:left="426"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7044F" w:rsidRPr="00610FED" w:rsidRDefault="0037044F" w:rsidP="0037044F">
                  <w:pPr>
                    <w:tabs>
                      <w:tab w:val="left" w:pos="708"/>
                    </w:tabs>
                    <w:ind w:left="426" w:right="282"/>
                    <w:jc w:val="both"/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7.4.Uygunsuzluk İzleme</w:t>
                  </w:r>
                </w:p>
                <w:p w:rsidR="0037044F" w:rsidRPr="00610FED" w:rsidRDefault="0037044F" w:rsidP="00A966ED">
                  <w:pPr>
                    <w:tabs>
                      <w:tab w:val="left" w:pos="708"/>
                    </w:tabs>
                    <w:ind w:left="426"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Denetçilerin görevi denetim esnasında açtıkları uygunsuzlukların kapatılmasına kadar devam eder. Verilen kapanma </w:t>
                  </w:r>
                  <w:proofErr w:type="spellStart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terminlerinde</w:t>
                  </w:r>
                  <w:proofErr w:type="spellEnd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ilgili uygunsuzluğun giderildiği tespit edilir ise; iç denetçi tarafından DF formunun kapama kısmına kayıt tutulur ve denetim görevi o anda tamamlanmış olur. İlgili </w:t>
                  </w:r>
                  <w:proofErr w:type="spellStart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terminde</w:t>
                  </w:r>
                  <w:proofErr w:type="spellEnd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uygunsuzluk giderilmedi ise; yeni </w:t>
                  </w:r>
                  <w:proofErr w:type="spellStart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termin</w:t>
                  </w:r>
                  <w:proofErr w:type="spellEnd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verilerek ilgili DF formu izlenmeye devam edilir ve iç denetçilik görevi devam eder.</w:t>
                  </w:r>
                </w:p>
                <w:p w:rsidR="00AB41E1" w:rsidRPr="00610FED" w:rsidRDefault="00AB41E1" w:rsidP="00A966ED">
                  <w:pPr>
                    <w:tabs>
                      <w:tab w:val="left" w:pos="708"/>
                    </w:tabs>
                    <w:ind w:left="426"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  <w:p w:rsidR="00AB41E1" w:rsidRPr="00610FED" w:rsidRDefault="00AB41E1" w:rsidP="00A966ED">
                  <w:pPr>
                    <w:tabs>
                      <w:tab w:val="left" w:pos="708"/>
                    </w:tabs>
                    <w:ind w:left="426"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7.</w:t>
                  </w:r>
                  <w:r w:rsidR="0037044F"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610FED">
                    <w:rPr>
                      <w:rFonts w:ascii="Arial Narrow" w:hAnsi="Arial Narrow" w:cs="Arial"/>
                      <w:b/>
                      <w:color w:val="000000"/>
                      <w:sz w:val="24"/>
                      <w:szCs w:val="24"/>
                    </w:rPr>
                    <w:t>.Denetçi Değerlendirmeleri</w:t>
                  </w:r>
                </w:p>
                <w:p w:rsidR="00600711" w:rsidRPr="00610FED" w:rsidRDefault="00AB41E1" w:rsidP="00A966ED">
                  <w:pPr>
                    <w:tabs>
                      <w:tab w:val="left" w:pos="708"/>
                    </w:tabs>
                    <w:ind w:left="426"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Her sene iç denetim tamamlandıktan sonra </w:t>
                  </w:r>
                  <w:proofErr w:type="gramStart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online</w:t>
                  </w:r>
                  <w:proofErr w:type="gramEnd"/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denetçi değerlendirme anketleri yapılır. </w:t>
                  </w:r>
                  <w:r w:rsidR="0037044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Bu anketin amacı denetlenenin gelen denetçiden olan memnuniyetini sorgulamaya yöneliktir. </w:t>
                  </w: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Gelen sonuçlar </w:t>
                  </w:r>
                  <w:r w:rsidR="00F552DD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KAO</w:t>
                  </w:r>
                  <w:r w:rsidR="0037044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 tarafından </w:t>
                  </w: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analiz edilir ve YT tarafından </w:t>
                  </w:r>
                  <w:r w:rsidR="0037044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iç </w:t>
                  </w:r>
                  <w:r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denetçilere iletilerek bir sonraki sene yapılacak iç denetimlerde ilgili </w:t>
                  </w:r>
                  <w:r w:rsidR="0037044F" w:rsidRPr="00610FE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memnuniyetsizliğe sebebiyet veren durumların giderilmesi beklenir.</w:t>
                  </w:r>
                </w:p>
                <w:p w:rsidR="004B608F" w:rsidRPr="00610FED" w:rsidRDefault="004B608F" w:rsidP="00A966ED">
                  <w:pPr>
                    <w:tabs>
                      <w:tab w:val="left" w:pos="708"/>
                    </w:tabs>
                    <w:ind w:right="214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6F4A" w:rsidRPr="00F312AD" w:rsidTr="002C277A">
              <w:trPr>
                <w:trHeight w:val="330"/>
              </w:trPr>
              <w:tc>
                <w:tcPr>
                  <w:tcW w:w="10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608F" w:rsidRPr="00610FED" w:rsidRDefault="003F2964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</w:pPr>
                  <w:r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>ABÜ</w:t>
                  </w:r>
                  <w:r w:rsidR="004B608F"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 xml:space="preserve"> bünyesinde gerçekleştirilecek iç denetimler bağımsız bir baş denetçiye </w:t>
                  </w:r>
                  <w:proofErr w:type="spellStart"/>
                  <w:r w:rsidR="004B608F"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>taşere</w:t>
                  </w:r>
                  <w:proofErr w:type="spellEnd"/>
                  <w:r w:rsidR="004B608F"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 xml:space="preserve"> e</w:t>
                  </w:r>
                  <w:r w:rsidR="000E0F46"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>dil</w:t>
                  </w:r>
                  <w:r w:rsidR="00600711"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>ebilir. Böyle bir durumda bağımsız baş denetçi</w:t>
                  </w:r>
                  <w:r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>,</w:t>
                  </w:r>
                  <w:r w:rsidR="00600711" w:rsidRPr="00610FED">
                    <w:rPr>
                      <w:rStyle w:val="Gl"/>
                      <w:rFonts w:ascii="Arial Narrow" w:hAnsi="Arial Narrow" w:cs="Arial"/>
                      <w:i/>
                      <w:sz w:val="24"/>
                      <w:szCs w:val="24"/>
                    </w:rPr>
                    <w:t xml:space="preserve"> kurum içi denetçiler ile birlikte denetim planına bağlı kalarak iç denetimleri gerçekleştirir.</w:t>
                  </w:r>
                </w:p>
                <w:p w:rsidR="00816F4A" w:rsidRPr="00610FED" w:rsidRDefault="00816F4A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i/>
                      <w:color w:val="000000"/>
                      <w:sz w:val="24"/>
                      <w:szCs w:val="24"/>
                    </w:rPr>
                  </w:pPr>
                </w:p>
                <w:p w:rsidR="00816F4A" w:rsidRPr="00610FED" w:rsidRDefault="00816F4A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610FED">
                    <w:rPr>
                      <w:rStyle w:val="Gl"/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8.KAYITLAMA VE ARŞİVLEME</w:t>
                  </w:r>
                </w:p>
                <w:p w:rsidR="00816F4A" w:rsidRPr="00F312AD" w:rsidRDefault="00816F4A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610FED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</w:t>
                  </w:r>
                  <w:proofErr w:type="gramStart"/>
                  <w:r w:rsidR="00060A24" w:rsidRPr="00610FED">
                    <w:rPr>
                      <w:rFonts w:ascii="Arial Narrow" w:hAnsi="Arial Narrow" w:cs="Arial"/>
                      <w:sz w:val="24"/>
                      <w:szCs w:val="24"/>
                    </w:rPr>
                    <w:t>prosedür</w:t>
                  </w:r>
                  <w:proofErr w:type="gramEnd"/>
                  <w:r w:rsidR="00060A24" w:rsidRPr="00610FED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226423" w:rsidRPr="00610FED">
                    <w:rPr>
                      <w:rFonts w:ascii="Arial Narrow" w:hAnsi="Arial Narrow" w:cs="Arial"/>
                      <w:sz w:val="24"/>
                      <w:szCs w:val="24"/>
                    </w:rPr>
                    <w:t>ve ilgili form/dokümanlar</w:t>
                  </w:r>
                  <w:r w:rsidR="00226423" w:rsidRPr="00610FED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 </w:t>
                  </w:r>
                  <w:r w:rsidR="003F2964" w:rsidRPr="00610FED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KY-</w:t>
                  </w:r>
                  <w:r w:rsidRPr="00610FED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PR-0</w:t>
                  </w:r>
                  <w:r w:rsidR="00600711" w:rsidRPr="00610FED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0</w:t>
                  </w:r>
                  <w:r w:rsidRPr="00610FED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02 Kalite Kayıtlarının Kontrolü Prosedürüne</w:t>
                  </w:r>
                  <w:r w:rsidRPr="00610FED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göre kayıtlanır ve arşivlenir.</w:t>
                  </w:r>
                </w:p>
              </w:tc>
            </w:tr>
            <w:tr w:rsidR="00816F4A" w:rsidRPr="00F312AD" w:rsidTr="002C277A">
              <w:trPr>
                <w:trHeight w:val="330"/>
              </w:trPr>
              <w:tc>
                <w:tcPr>
                  <w:tcW w:w="10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6F4A" w:rsidRPr="00F312AD" w:rsidRDefault="00816F4A" w:rsidP="00A966ED">
                  <w:pPr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16F4A" w:rsidRDefault="00816F4A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Pr="00025182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cs="Arial"/>
                <w:b/>
              </w:rPr>
            </w:pPr>
          </w:p>
        </w:tc>
      </w:tr>
      <w:tr w:rsidR="009E1326" w:rsidRPr="00025182" w:rsidTr="008C2FCB">
        <w:trPr>
          <w:trHeight w:val="11740"/>
        </w:trPr>
        <w:tc>
          <w:tcPr>
            <w:tcW w:w="10915" w:type="dxa"/>
          </w:tcPr>
          <w:p w:rsidR="009E1326" w:rsidRDefault="009E1326" w:rsidP="009E1326">
            <w:pPr>
              <w:tabs>
                <w:tab w:val="left" w:pos="708"/>
                <w:tab w:val="left" w:pos="10137"/>
              </w:tabs>
              <w:ind w:right="282"/>
              <w:jc w:val="both"/>
              <w:rPr>
                <w:rFonts w:cs="Arial"/>
                <w:b/>
                <w:bCs/>
                <w:color w:val="000000"/>
              </w:rPr>
            </w:pPr>
          </w:p>
        </w:tc>
      </w:tr>
    </w:tbl>
    <w:p w:rsidR="00D456C6" w:rsidRPr="00025182" w:rsidRDefault="00D456C6" w:rsidP="00A966ED">
      <w:pPr>
        <w:shd w:val="clear" w:color="auto" w:fill="FFFFFF"/>
        <w:tabs>
          <w:tab w:val="left" w:pos="426"/>
          <w:tab w:val="left" w:pos="10348"/>
        </w:tabs>
        <w:ind w:left="1146" w:right="282"/>
        <w:jc w:val="both"/>
        <w:rPr>
          <w:rFonts w:cs="Arial"/>
          <w:b/>
        </w:rPr>
      </w:pPr>
    </w:p>
    <w:sectPr w:rsidR="00D456C6" w:rsidRPr="00025182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DF" w:rsidRDefault="00F550DF">
      <w:r>
        <w:separator/>
      </w:r>
    </w:p>
  </w:endnote>
  <w:endnote w:type="continuationSeparator" w:id="0">
    <w:p w:rsidR="00F550DF" w:rsidRDefault="00F5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3"/>
      <w:gridCol w:w="2404"/>
      <w:gridCol w:w="2833"/>
      <w:gridCol w:w="2640"/>
    </w:tblGrid>
    <w:tr w:rsidR="00D65A6C" w:rsidRPr="0024788E" w:rsidTr="00D65A6C">
      <w:tc>
        <w:tcPr>
          <w:tcW w:w="2743" w:type="dxa"/>
          <w:shd w:val="clear" w:color="auto" w:fill="auto"/>
        </w:tcPr>
        <w:p w:rsidR="00D65A6C" w:rsidRPr="0024788E" w:rsidRDefault="00D65A6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4" w:type="dxa"/>
        </w:tcPr>
        <w:p w:rsidR="00D65A6C" w:rsidRPr="0024788E" w:rsidRDefault="00D65A6C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33" w:type="dxa"/>
          <w:shd w:val="clear" w:color="auto" w:fill="auto"/>
        </w:tcPr>
        <w:p w:rsidR="00D65A6C" w:rsidRPr="0024788E" w:rsidRDefault="00D65A6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0" w:type="dxa"/>
          <w:shd w:val="clear" w:color="auto" w:fill="auto"/>
        </w:tcPr>
        <w:p w:rsidR="00D65A6C" w:rsidRPr="0024788E" w:rsidRDefault="00D65A6C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D65A6C" w:rsidRPr="0024788E" w:rsidTr="00D65A6C">
      <w:tc>
        <w:tcPr>
          <w:tcW w:w="2743" w:type="dxa"/>
          <w:shd w:val="clear" w:color="auto" w:fill="auto"/>
        </w:tcPr>
        <w:p w:rsidR="00D65A6C" w:rsidRDefault="00D65A6C" w:rsidP="006F5445">
          <w:pPr>
            <w:pStyle w:val="AltBilgi"/>
            <w:jc w:val="center"/>
          </w:pPr>
          <w:r>
            <w:t>Şafak GÜR</w:t>
          </w:r>
        </w:p>
        <w:p w:rsidR="00D65A6C" w:rsidRDefault="00D65A6C" w:rsidP="006F5445">
          <w:pPr>
            <w:pStyle w:val="AltBilgi"/>
            <w:jc w:val="center"/>
          </w:pPr>
        </w:p>
      </w:tc>
      <w:tc>
        <w:tcPr>
          <w:tcW w:w="2404" w:type="dxa"/>
        </w:tcPr>
        <w:p w:rsidR="00D65A6C" w:rsidRDefault="00D65A6C" w:rsidP="0026475F">
          <w:pPr>
            <w:pStyle w:val="AltBilgi"/>
            <w:jc w:val="center"/>
          </w:pPr>
          <w:r>
            <w:t>Çağatay ASLAN</w:t>
          </w:r>
        </w:p>
      </w:tc>
      <w:tc>
        <w:tcPr>
          <w:tcW w:w="2833" w:type="dxa"/>
          <w:shd w:val="clear" w:color="auto" w:fill="auto"/>
        </w:tcPr>
        <w:p w:rsidR="00D65A6C" w:rsidRDefault="00D65A6C" w:rsidP="0026475F">
          <w:pPr>
            <w:pStyle w:val="AltBilgi"/>
            <w:jc w:val="center"/>
          </w:pPr>
          <w:r>
            <w:t>Prof.</w:t>
          </w:r>
          <w:r w:rsidR="00F914CC">
            <w:t xml:space="preserve"> </w:t>
          </w:r>
          <w:r>
            <w:t>Dr.</w:t>
          </w:r>
          <w:r w:rsidR="00F914CC">
            <w:t xml:space="preserve"> </w:t>
          </w:r>
          <w:r>
            <w:t>Semih EKERCİN</w:t>
          </w:r>
        </w:p>
        <w:p w:rsidR="00D65A6C" w:rsidRDefault="00D65A6C" w:rsidP="006F5445">
          <w:pPr>
            <w:pStyle w:val="AltBilgi"/>
            <w:jc w:val="center"/>
          </w:pPr>
        </w:p>
      </w:tc>
      <w:tc>
        <w:tcPr>
          <w:tcW w:w="2640" w:type="dxa"/>
          <w:shd w:val="clear" w:color="auto" w:fill="auto"/>
        </w:tcPr>
        <w:p w:rsidR="00D65A6C" w:rsidRDefault="00D65A6C" w:rsidP="00600711">
          <w:pPr>
            <w:pStyle w:val="AltBilgi"/>
            <w:jc w:val="center"/>
          </w:pPr>
          <w:r>
            <w:t>Şafak GÜR</w:t>
          </w:r>
        </w:p>
        <w:p w:rsidR="00D65A6C" w:rsidRDefault="00D65A6C" w:rsidP="006F5445">
          <w:pPr>
            <w:pStyle w:val="AltBilgi"/>
            <w:jc w:val="center"/>
          </w:pPr>
        </w:p>
      </w:tc>
    </w:tr>
  </w:tbl>
  <w:p w:rsidR="00DE3FCF" w:rsidRDefault="00DE3FCF" w:rsidP="00DE3FCF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6F5445" w:rsidRPr="003A33FC" w:rsidRDefault="006F5445" w:rsidP="0061363F">
    <w:pPr>
      <w:pStyle w:val="AltBilgi"/>
      <w:jc w:val="center"/>
      <w:rPr>
        <w:sz w:val="16"/>
      </w:rPr>
    </w:pPr>
  </w:p>
  <w:p w:rsidR="00025182" w:rsidRPr="003A33FC" w:rsidRDefault="00025182" w:rsidP="006F5445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DF" w:rsidRDefault="00F550DF">
      <w:r>
        <w:separator/>
      </w:r>
    </w:p>
  </w:footnote>
  <w:footnote w:type="continuationSeparator" w:id="0">
    <w:p w:rsidR="00F550DF" w:rsidRDefault="00F5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025182" w:rsidRPr="00BF2725" w:rsidRDefault="00610791" w:rsidP="006F5445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    </w:t>
          </w:r>
          <w:r w:rsidR="00A966ED">
            <w:rPr>
              <w:noProof/>
            </w:rPr>
            <w:drawing>
              <wp:inline distT="0" distB="0" distL="0" distR="0" wp14:anchorId="3E28592C" wp14:editId="2CF1D3B6">
                <wp:extent cx="1972438" cy="63817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88" cy="639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A966ED" w:rsidP="00A966ED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KY-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1F2A06">
            <w:rPr>
              <w:rFonts w:ascii="Arial Narrow" w:hAnsi="Arial Narrow"/>
              <w:sz w:val="22"/>
              <w:szCs w:val="22"/>
            </w:rPr>
            <w:t>0</w:t>
          </w:r>
          <w:r>
            <w:rPr>
              <w:rFonts w:ascii="Arial Narrow" w:hAnsi="Arial Narrow"/>
              <w:sz w:val="22"/>
              <w:szCs w:val="22"/>
            </w:rPr>
            <w:t>3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A966ED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816F4A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>İÇ DENETİM</w:t>
          </w:r>
          <w:r w:rsidR="001F2A06" w:rsidRPr="00BF2725">
            <w:rPr>
              <w:rFonts w:ascii="Arial Narrow" w:hAnsi="Arial Narrow" w:cs="Arial"/>
              <w:b/>
              <w:sz w:val="36"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2139C4" w:rsidRPr="00BF2725" w:rsidRDefault="002139C4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3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2139C4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05.02</w:t>
          </w:r>
          <w:r w:rsidR="008F36E7">
            <w:rPr>
              <w:rFonts w:ascii="Arial Narrow" w:hAnsi="Arial Narrow"/>
              <w:sz w:val="22"/>
              <w:szCs w:val="22"/>
            </w:rPr>
            <w:t>.202</w:t>
          </w:r>
          <w:r>
            <w:rPr>
              <w:rFonts w:ascii="Arial Narrow" w:hAnsi="Arial Narrow"/>
              <w:sz w:val="22"/>
              <w:szCs w:val="22"/>
            </w:rPr>
            <w:t>4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6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8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9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3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4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5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6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7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8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9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0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2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3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4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6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7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9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0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1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25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5"/>
  </w:num>
  <w:num w:numId="10">
    <w:abstractNumId w:val="29"/>
  </w:num>
  <w:num w:numId="11">
    <w:abstractNumId w:val="13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32"/>
  </w:num>
  <w:num w:numId="23">
    <w:abstractNumId w:val="3"/>
  </w:num>
  <w:num w:numId="24">
    <w:abstractNumId w:val="7"/>
  </w:num>
  <w:num w:numId="25">
    <w:abstractNumId w:val="31"/>
  </w:num>
  <w:num w:numId="26">
    <w:abstractNumId w:val="6"/>
  </w:num>
  <w:num w:numId="27">
    <w:abstractNumId w:val="19"/>
  </w:num>
  <w:num w:numId="28">
    <w:abstractNumId w:val="17"/>
  </w:num>
  <w:num w:numId="29">
    <w:abstractNumId w:val="8"/>
  </w:num>
  <w:num w:numId="30">
    <w:abstractNumId w:val="2"/>
  </w:num>
  <w:num w:numId="31">
    <w:abstractNumId w:val="27"/>
  </w:num>
  <w:num w:numId="32">
    <w:abstractNumId w:val="22"/>
  </w:num>
  <w:num w:numId="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5182"/>
    <w:rsid w:val="00026DE9"/>
    <w:rsid w:val="00040B68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96772"/>
    <w:rsid w:val="000A363B"/>
    <w:rsid w:val="000A417F"/>
    <w:rsid w:val="000A5E55"/>
    <w:rsid w:val="000B62ED"/>
    <w:rsid w:val="000B72FE"/>
    <w:rsid w:val="000B776A"/>
    <w:rsid w:val="000B7C6C"/>
    <w:rsid w:val="000C03F0"/>
    <w:rsid w:val="000C44B5"/>
    <w:rsid w:val="000D14F5"/>
    <w:rsid w:val="000D28F0"/>
    <w:rsid w:val="000E095E"/>
    <w:rsid w:val="000E0E5F"/>
    <w:rsid w:val="000E0F46"/>
    <w:rsid w:val="000E2540"/>
    <w:rsid w:val="000E54DA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5B5"/>
    <w:rsid w:val="001802C6"/>
    <w:rsid w:val="00185CBA"/>
    <w:rsid w:val="00187AEE"/>
    <w:rsid w:val="00193EFC"/>
    <w:rsid w:val="00196C65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7108"/>
    <w:rsid w:val="00201CB8"/>
    <w:rsid w:val="002023FF"/>
    <w:rsid w:val="00210B46"/>
    <w:rsid w:val="002139C4"/>
    <w:rsid w:val="0021656C"/>
    <w:rsid w:val="0022535E"/>
    <w:rsid w:val="00226423"/>
    <w:rsid w:val="00233E7C"/>
    <w:rsid w:val="00243B4F"/>
    <w:rsid w:val="0024692C"/>
    <w:rsid w:val="0024788E"/>
    <w:rsid w:val="00250DE8"/>
    <w:rsid w:val="0025205E"/>
    <w:rsid w:val="00252A82"/>
    <w:rsid w:val="00257A16"/>
    <w:rsid w:val="0026019E"/>
    <w:rsid w:val="00261E92"/>
    <w:rsid w:val="00263EAE"/>
    <w:rsid w:val="0026475F"/>
    <w:rsid w:val="00266014"/>
    <w:rsid w:val="00266F56"/>
    <w:rsid w:val="00271DC2"/>
    <w:rsid w:val="0027552B"/>
    <w:rsid w:val="002801DF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1C17"/>
    <w:rsid w:val="002C277A"/>
    <w:rsid w:val="002C3E72"/>
    <w:rsid w:val="002C6272"/>
    <w:rsid w:val="002C6AE8"/>
    <w:rsid w:val="002E0DE3"/>
    <w:rsid w:val="002E15C0"/>
    <w:rsid w:val="002E2A4C"/>
    <w:rsid w:val="002F36F3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44F"/>
    <w:rsid w:val="00370807"/>
    <w:rsid w:val="00375A93"/>
    <w:rsid w:val="00377AC3"/>
    <w:rsid w:val="003802F1"/>
    <w:rsid w:val="003811A4"/>
    <w:rsid w:val="00382608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2DAB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2964"/>
    <w:rsid w:val="003F5082"/>
    <w:rsid w:val="003F7CDA"/>
    <w:rsid w:val="0040692A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4F1B"/>
    <w:rsid w:val="004678E1"/>
    <w:rsid w:val="00475790"/>
    <w:rsid w:val="004773B2"/>
    <w:rsid w:val="00480B80"/>
    <w:rsid w:val="0048287D"/>
    <w:rsid w:val="004842BD"/>
    <w:rsid w:val="00484EC2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1208"/>
    <w:rsid w:val="00514DF1"/>
    <w:rsid w:val="005174EF"/>
    <w:rsid w:val="005219B8"/>
    <w:rsid w:val="005222D5"/>
    <w:rsid w:val="005222E1"/>
    <w:rsid w:val="0052593B"/>
    <w:rsid w:val="0053197C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C76A3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0FED"/>
    <w:rsid w:val="00612C58"/>
    <w:rsid w:val="0061363F"/>
    <w:rsid w:val="006213F9"/>
    <w:rsid w:val="006220E8"/>
    <w:rsid w:val="00622462"/>
    <w:rsid w:val="006261DC"/>
    <w:rsid w:val="00627BCC"/>
    <w:rsid w:val="006314D4"/>
    <w:rsid w:val="00632FDB"/>
    <w:rsid w:val="00633B2C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183F"/>
    <w:rsid w:val="00681667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C1604"/>
    <w:rsid w:val="007C5271"/>
    <w:rsid w:val="007D032B"/>
    <w:rsid w:val="007D18E8"/>
    <w:rsid w:val="007D2869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2273"/>
    <w:rsid w:val="00834C36"/>
    <w:rsid w:val="008429CB"/>
    <w:rsid w:val="00851B6A"/>
    <w:rsid w:val="00854896"/>
    <w:rsid w:val="008616CE"/>
    <w:rsid w:val="008665F4"/>
    <w:rsid w:val="00870B52"/>
    <w:rsid w:val="00876640"/>
    <w:rsid w:val="00880E30"/>
    <w:rsid w:val="008816BD"/>
    <w:rsid w:val="00897F9E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36E7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275DB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874"/>
    <w:rsid w:val="00985BFE"/>
    <w:rsid w:val="009922E3"/>
    <w:rsid w:val="00992B59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D6C45"/>
    <w:rsid w:val="009E04F5"/>
    <w:rsid w:val="009E1070"/>
    <w:rsid w:val="009E1326"/>
    <w:rsid w:val="009E3D1D"/>
    <w:rsid w:val="009E5D23"/>
    <w:rsid w:val="009E5DDC"/>
    <w:rsid w:val="009E6AC1"/>
    <w:rsid w:val="009F55C7"/>
    <w:rsid w:val="00A042B5"/>
    <w:rsid w:val="00A112D6"/>
    <w:rsid w:val="00A13D65"/>
    <w:rsid w:val="00A2528C"/>
    <w:rsid w:val="00A2623A"/>
    <w:rsid w:val="00A31E14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1031"/>
    <w:rsid w:val="00A966ED"/>
    <w:rsid w:val="00AA2D1F"/>
    <w:rsid w:val="00AA3E23"/>
    <w:rsid w:val="00AB1403"/>
    <w:rsid w:val="00AB41E1"/>
    <w:rsid w:val="00AB4789"/>
    <w:rsid w:val="00AB741A"/>
    <w:rsid w:val="00AC0877"/>
    <w:rsid w:val="00AD1588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0524"/>
    <w:rsid w:val="00B42ACF"/>
    <w:rsid w:val="00B504D4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227E"/>
    <w:rsid w:val="00BC15C9"/>
    <w:rsid w:val="00BC6CA7"/>
    <w:rsid w:val="00BD1167"/>
    <w:rsid w:val="00BD3DD3"/>
    <w:rsid w:val="00BD7F9A"/>
    <w:rsid w:val="00BE0511"/>
    <w:rsid w:val="00BE3819"/>
    <w:rsid w:val="00BE6B2B"/>
    <w:rsid w:val="00BF01C3"/>
    <w:rsid w:val="00BF2144"/>
    <w:rsid w:val="00BF2725"/>
    <w:rsid w:val="00BF3FA9"/>
    <w:rsid w:val="00BF632E"/>
    <w:rsid w:val="00C00B22"/>
    <w:rsid w:val="00C04961"/>
    <w:rsid w:val="00C1404F"/>
    <w:rsid w:val="00C20570"/>
    <w:rsid w:val="00C21DEE"/>
    <w:rsid w:val="00C3015C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77A1F"/>
    <w:rsid w:val="00C81178"/>
    <w:rsid w:val="00C84C3B"/>
    <w:rsid w:val="00C84E04"/>
    <w:rsid w:val="00C95F9D"/>
    <w:rsid w:val="00C975EE"/>
    <w:rsid w:val="00CB7AAE"/>
    <w:rsid w:val="00CC4656"/>
    <w:rsid w:val="00CD1101"/>
    <w:rsid w:val="00CD73FC"/>
    <w:rsid w:val="00CD7C20"/>
    <w:rsid w:val="00CE10C6"/>
    <w:rsid w:val="00CF2055"/>
    <w:rsid w:val="00CF3B76"/>
    <w:rsid w:val="00CF3C87"/>
    <w:rsid w:val="00D02912"/>
    <w:rsid w:val="00D070D2"/>
    <w:rsid w:val="00D1236C"/>
    <w:rsid w:val="00D12C82"/>
    <w:rsid w:val="00D15F78"/>
    <w:rsid w:val="00D242BC"/>
    <w:rsid w:val="00D32071"/>
    <w:rsid w:val="00D33977"/>
    <w:rsid w:val="00D419A3"/>
    <w:rsid w:val="00D43729"/>
    <w:rsid w:val="00D456C6"/>
    <w:rsid w:val="00D55843"/>
    <w:rsid w:val="00D56E12"/>
    <w:rsid w:val="00D64251"/>
    <w:rsid w:val="00D64CDA"/>
    <w:rsid w:val="00D65A6C"/>
    <w:rsid w:val="00D84868"/>
    <w:rsid w:val="00D915AE"/>
    <w:rsid w:val="00D937A4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D7F8D"/>
    <w:rsid w:val="00DE120D"/>
    <w:rsid w:val="00DE3FCF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91E91"/>
    <w:rsid w:val="00E92ADD"/>
    <w:rsid w:val="00EA7B7C"/>
    <w:rsid w:val="00EB174C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4924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0DF"/>
    <w:rsid w:val="00F552DD"/>
    <w:rsid w:val="00F55C6B"/>
    <w:rsid w:val="00F62D44"/>
    <w:rsid w:val="00F67999"/>
    <w:rsid w:val="00F73177"/>
    <w:rsid w:val="00F84EDB"/>
    <w:rsid w:val="00F867A8"/>
    <w:rsid w:val="00F874CA"/>
    <w:rsid w:val="00F914CC"/>
    <w:rsid w:val="00F9243B"/>
    <w:rsid w:val="00F94EEA"/>
    <w:rsid w:val="00F96538"/>
    <w:rsid w:val="00F96C8C"/>
    <w:rsid w:val="00FA049B"/>
    <w:rsid w:val="00FA172F"/>
    <w:rsid w:val="00FA26A6"/>
    <w:rsid w:val="00FA4EC5"/>
    <w:rsid w:val="00FB236B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80E79"/>
  <w15:chartTrackingRefBased/>
  <w15:docId w15:val="{D0912ACD-4804-46D4-AD40-82081E2D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">
    <w:name w:val="Alt Bilgi Char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uiPriority w:val="99"/>
    <w:rsid w:val="00DE3FCF"/>
    <w:pPr>
      <w:tabs>
        <w:tab w:val="center" w:pos="4536"/>
        <w:tab w:val="right" w:pos="9072"/>
      </w:tabs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889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18</cp:revision>
  <cp:lastPrinted>2010-06-16T13:53:00Z</cp:lastPrinted>
  <dcterms:created xsi:type="dcterms:W3CDTF">2023-05-08T06:50:00Z</dcterms:created>
  <dcterms:modified xsi:type="dcterms:W3CDTF">2024-06-13T07:16:00Z</dcterms:modified>
</cp:coreProperties>
</file>