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10"/>
        <w:gridCol w:w="3836"/>
        <w:gridCol w:w="2077"/>
        <w:gridCol w:w="1559"/>
      </w:tblGrid>
      <w:tr w:rsidR="00B40393" w:rsidRPr="00B40393"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B40393" w:rsidRDefault="00B40393" w:rsidP="00B40393">
            <w:pPr>
              <w:spacing w:after="0" w:line="240" w:lineRule="auto"/>
              <w:jc w:val="center"/>
              <w:rPr>
                <w:rFonts w:ascii="Calibri" w:eastAsia="Times New Roman" w:hAnsi="Calibri" w:cs="Calibri"/>
                <w:color w:val="000000"/>
                <w:lang w:eastAsia="tr-TR"/>
              </w:rPr>
            </w:pPr>
            <w:r w:rsidRPr="00B40393">
              <w:rPr>
                <w:rFonts w:ascii="Calibri" w:eastAsia="Times New Roman" w:hAnsi="Calibri" w:cs="Calibri"/>
                <w:color w:val="000000"/>
                <w:lang w:eastAsia="tr-TR"/>
              </w:rPr>
              <w:t> </w:t>
            </w:r>
            <w:r>
              <w:rPr>
                <w:noProof/>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513BFA" w:rsidRDefault="00B40393" w:rsidP="00B40393">
            <w:pPr>
              <w:spacing w:after="0" w:line="240" w:lineRule="auto"/>
              <w:jc w:val="center"/>
              <w:rPr>
                <w:rFonts w:ascii="Times New Roman" w:eastAsia="Times New Roman" w:hAnsi="Times New Roman" w:cs="Times New Roman"/>
                <w:b/>
                <w:bCs/>
                <w:color w:val="000000"/>
                <w:sz w:val="36"/>
                <w:szCs w:val="36"/>
                <w:lang w:eastAsia="tr-TR"/>
              </w:rPr>
            </w:pPr>
            <w:r w:rsidRPr="00513BFA">
              <w:rPr>
                <w:rFonts w:ascii="Times New Roman" w:eastAsia="Times New Roman" w:hAnsi="Times New Roman" w:cs="Times New Roman"/>
                <w:b/>
                <w:bCs/>
                <w:color w:val="000000"/>
                <w:sz w:val="32"/>
                <w:szCs w:val="36"/>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513BFA" w:rsidRDefault="002E43DB" w:rsidP="00B40393">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ÜY</w:t>
            </w:r>
            <w:r w:rsidR="003B1C55">
              <w:rPr>
                <w:rFonts w:ascii="Times New Roman" w:eastAsia="Times New Roman" w:hAnsi="Times New Roman" w:cs="Times New Roman"/>
                <w:color w:val="000000"/>
                <w:sz w:val="24"/>
                <w:lang w:eastAsia="tr-TR"/>
              </w:rPr>
              <w:t>-PO-0003</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214BF8" w:rsidRDefault="00214BF8" w:rsidP="002E43DB">
            <w:pPr>
              <w:spacing w:after="0" w:line="240" w:lineRule="auto"/>
              <w:jc w:val="center"/>
              <w:rPr>
                <w:rFonts w:ascii="Times New Roman" w:eastAsia="Times New Roman" w:hAnsi="Times New Roman" w:cs="Times New Roman"/>
                <w:color w:val="000000"/>
                <w:sz w:val="24"/>
                <w:lang w:eastAsia="tr-TR"/>
              </w:rPr>
            </w:pPr>
            <w:r w:rsidRPr="00214BF8">
              <w:rPr>
                <w:rFonts w:ascii="Times New Roman" w:hAnsi="Times New Roman" w:cs="Times New Roman"/>
                <w:sz w:val="24"/>
                <w:szCs w:val="24"/>
              </w:rPr>
              <w:t>0</w:t>
            </w:r>
            <w:r w:rsidR="002E43DB">
              <w:rPr>
                <w:rFonts w:ascii="Times New Roman" w:hAnsi="Times New Roman" w:cs="Times New Roman"/>
                <w:sz w:val="24"/>
                <w:szCs w:val="24"/>
              </w:rPr>
              <w:t>3.05.2018</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w:t>
            </w:r>
          </w:p>
        </w:tc>
      </w:tr>
      <w:tr w:rsidR="00B40393" w:rsidRPr="00B40393"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softHyphen/>
            </w:r>
            <w:r w:rsidR="001A0B0A" w:rsidRPr="00513BFA">
              <w:rPr>
                <w:rFonts w:ascii="Times New Roman" w:eastAsia="Times New Roman" w:hAnsi="Times New Roman" w:cs="Times New Roman"/>
                <w:color w:val="000000"/>
                <w:sz w:val="24"/>
                <w:lang w:eastAsia="tr-TR"/>
              </w:rPr>
              <w:t>-</w:t>
            </w:r>
          </w:p>
        </w:tc>
      </w:tr>
    </w:tbl>
    <w:p w:rsidR="00643146" w:rsidRDefault="00643146"/>
    <w:p w:rsidR="0079711E" w:rsidRPr="00214BF8" w:rsidRDefault="0079711E" w:rsidP="00214BF8">
      <w:pPr>
        <w:pStyle w:val="ortabalkbold"/>
        <w:spacing w:before="56" w:beforeAutospacing="0" w:after="0" w:afterAutospacing="0" w:line="360" w:lineRule="auto"/>
        <w:jc w:val="center"/>
        <w:rPr>
          <w:b/>
          <w:bCs/>
          <w:color w:val="000000"/>
        </w:rPr>
      </w:pPr>
      <w:r w:rsidRPr="00A7486A">
        <w:rPr>
          <w:b/>
          <w:bCs/>
          <w:color w:val="000000"/>
        </w:rPr>
        <w:t>ANTALYA BİLİM ÜNİVERSİTESİ</w:t>
      </w:r>
    </w:p>
    <w:p w:rsidR="003B1C55" w:rsidRPr="00F87EE2" w:rsidRDefault="003B1C55" w:rsidP="003B1C55">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AÇIK ERİŞİM POLİTİKASI</w:t>
      </w:r>
    </w:p>
    <w:p w:rsidR="003B1C55" w:rsidRPr="005E51EF" w:rsidRDefault="003B1C55" w:rsidP="003B1C55">
      <w:pPr>
        <w:jc w:val="both"/>
        <w:rPr>
          <w:rFonts w:ascii="Times New Roman" w:hAnsi="Times New Roman" w:cs="Times New Roman"/>
          <w:b/>
          <w:color w:val="000000" w:themeColor="text1"/>
          <w:sz w:val="24"/>
          <w:szCs w:val="24"/>
        </w:rPr>
      </w:pPr>
      <w:r w:rsidRPr="005E51EF">
        <w:rPr>
          <w:rFonts w:ascii="Times New Roman" w:hAnsi="Times New Roman" w:cs="Times New Roman"/>
          <w:b/>
          <w:color w:val="000000" w:themeColor="text1"/>
          <w:sz w:val="24"/>
          <w:szCs w:val="24"/>
        </w:rPr>
        <w:t>Giriş</w:t>
      </w:r>
    </w:p>
    <w:p w:rsidR="003B1C55" w:rsidRPr="00F87EE2"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Antalya Bilim Üniversitesi, bilimin ve teknolojinin ilerlemesine katkı sağlamayı, açık, tekrarlanabilir ve güvenilir araştırma çıktıları ile uygulamaları benimseyerek; toplum ve dış paydaşları yararına bilginin geniş yayılımını taahhüt eder.</w:t>
      </w:r>
    </w:p>
    <w:p w:rsidR="003B1C55" w:rsidRPr="00F87EE2"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Antalya Bilim Üniversitesi “</w:t>
      </w:r>
      <w:proofErr w:type="spellStart"/>
      <w:r w:rsidRPr="00F87EE2">
        <w:rPr>
          <w:rFonts w:ascii="Times New Roman" w:hAnsi="Times New Roman" w:cs="Times New Roman"/>
          <w:color w:val="000000" w:themeColor="text1"/>
          <w:sz w:val="24"/>
          <w:szCs w:val="24"/>
        </w:rPr>
        <w:t>açıklık”ı</w:t>
      </w:r>
      <w:proofErr w:type="spellEnd"/>
      <w:r w:rsidRPr="00F87EE2">
        <w:rPr>
          <w:rFonts w:ascii="Times New Roman" w:hAnsi="Times New Roman" w:cs="Times New Roman"/>
          <w:color w:val="000000" w:themeColor="text1"/>
          <w:sz w:val="24"/>
          <w:szCs w:val="24"/>
        </w:rPr>
        <w:t xml:space="preserve"> yol gösterici ilkelerinden biri olarak kabul eder ve bu ilkenin yanı sıra yeni çalışma modellerini ve yeni sosyal ilişkileri mümkün kılan, işbirliğini, bilginin yayılmasını, araştırma çıktılarının erişilebilirliğini, yeniden kullanılabilirliğini etkin kılmak adına, yayınlara ve verilere açık erişimi teşvik eden, açık bilimi desteklemek için gerekli altyapıyı inşa eden araçlar ve araştırma süreçlerini özendirerek ve destekleyerek geliştirmeyi taahhüt eder.</w:t>
      </w:r>
    </w:p>
    <w:p w:rsidR="003B1C55" w:rsidRPr="00C5719B"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Açık bilim, araştırmayı daha şeffaf, titiz ve verimli kılar; yenilikçiliği ve halkın katılımını teşvik eder. Antalya Bilim Üniversitesi kamu tarafından finanse edilen tüm araştırma ve araştırma verilerinin halka ve dünyadaki tüm araştırmacılara ücretsiz olarak sunulması gerektiğine inanmaktadır.</w:t>
      </w:r>
    </w:p>
    <w:p w:rsidR="003B1C55" w:rsidRPr="005E51EF" w:rsidRDefault="003B1C55" w:rsidP="003B1C55">
      <w:pPr>
        <w:jc w:val="both"/>
        <w:rPr>
          <w:rFonts w:ascii="Times New Roman" w:hAnsi="Times New Roman" w:cs="Times New Roman"/>
          <w:b/>
          <w:color w:val="000000" w:themeColor="text1"/>
          <w:sz w:val="24"/>
          <w:szCs w:val="24"/>
        </w:rPr>
      </w:pPr>
      <w:r w:rsidRPr="005E51EF">
        <w:rPr>
          <w:rFonts w:ascii="Times New Roman" w:hAnsi="Times New Roman" w:cs="Times New Roman"/>
          <w:b/>
          <w:color w:val="000000" w:themeColor="text1"/>
          <w:sz w:val="24"/>
          <w:szCs w:val="24"/>
        </w:rPr>
        <w:t>Yetki ve Sorumluluklar</w:t>
      </w:r>
    </w:p>
    <w:p w:rsidR="003B1C55"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 xml:space="preserve">Açık Erişim Sistemi’ni Açık Erişim Danışma Kurulu yönetir. Danışma Kurulu üyeleri; Rektör Yardımcısı, Fakülte Temsilcileri, Enstitü Müdürlük Temsilcileri, Yüksekokul Müdürlük Temsilcileri ve Kütüphane ve Dokümantasyon Müdürüdür. Danışma Kuruluna görevli Rektör Yardımcısı başkanlık eder. </w:t>
      </w:r>
    </w:p>
    <w:p w:rsidR="003B1C55" w:rsidRPr="00F87EE2" w:rsidRDefault="003B1C55" w:rsidP="003B1C55">
      <w:pPr>
        <w:jc w:val="both"/>
        <w:rPr>
          <w:rFonts w:ascii="Times New Roman" w:hAnsi="Times New Roman" w:cs="Times New Roman"/>
          <w:b/>
          <w:color w:val="000000" w:themeColor="text1"/>
          <w:sz w:val="24"/>
          <w:szCs w:val="24"/>
        </w:rPr>
      </w:pPr>
      <w:r w:rsidRPr="00F87EE2">
        <w:rPr>
          <w:rFonts w:ascii="Times New Roman" w:hAnsi="Times New Roman" w:cs="Times New Roman"/>
          <w:b/>
          <w:color w:val="000000" w:themeColor="text1"/>
          <w:sz w:val="24"/>
          <w:szCs w:val="24"/>
        </w:rPr>
        <w:t>Danışma Kurulu;</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Uluslararası standartlarda Açık Erişim Sistemi’nin kurulmasından,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Kurumsal Arşiv sorumlusu bir kütüphaneci belirlenmesinden,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 xml:space="preserve">Arşivlerin Uluslararası Harmanlama ve Listeleme Sistemlerine (OAI, BASE, </w:t>
      </w:r>
      <w:proofErr w:type="spellStart"/>
      <w:r w:rsidRPr="00F87EE2">
        <w:rPr>
          <w:color w:val="000000" w:themeColor="text1"/>
        </w:rPr>
        <w:t>OpenDOAR</w:t>
      </w:r>
      <w:proofErr w:type="spellEnd"/>
      <w:r w:rsidRPr="00F87EE2">
        <w:rPr>
          <w:color w:val="000000" w:themeColor="text1"/>
        </w:rPr>
        <w:t xml:space="preserve">, ROAR, Open AIRE, ROARMAP, </w:t>
      </w:r>
      <w:proofErr w:type="spellStart"/>
      <w:r w:rsidRPr="00F87EE2">
        <w:rPr>
          <w:color w:val="000000" w:themeColor="text1"/>
        </w:rPr>
        <w:t>DSpace</w:t>
      </w:r>
      <w:proofErr w:type="spellEnd"/>
      <w:r w:rsidRPr="00F87EE2">
        <w:rPr>
          <w:color w:val="000000" w:themeColor="text1"/>
        </w:rPr>
        <w:t>, EOSC, DOI) kaydedilmesinden,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Kurumun akademik arşiv ve diğer araştırma altyapılarının FAIR veri ilkeleri (</w:t>
      </w:r>
      <w:proofErr w:type="spellStart"/>
      <w:r w:rsidRPr="00F87EE2">
        <w:rPr>
          <w:color w:val="000000" w:themeColor="text1"/>
        </w:rPr>
        <w:t>Findable</w:t>
      </w:r>
      <w:proofErr w:type="spellEnd"/>
      <w:r w:rsidRPr="00F87EE2">
        <w:rPr>
          <w:color w:val="000000" w:themeColor="text1"/>
        </w:rPr>
        <w:t xml:space="preserve">=Bulunabilir, </w:t>
      </w:r>
      <w:proofErr w:type="spellStart"/>
      <w:r w:rsidRPr="00F87EE2">
        <w:rPr>
          <w:color w:val="000000" w:themeColor="text1"/>
        </w:rPr>
        <w:t>Accessibe</w:t>
      </w:r>
      <w:proofErr w:type="spellEnd"/>
      <w:r w:rsidRPr="00F87EE2">
        <w:rPr>
          <w:color w:val="000000" w:themeColor="text1"/>
        </w:rPr>
        <w:t xml:space="preserve">=Erişilebilir, </w:t>
      </w:r>
      <w:proofErr w:type="spellStart"/>
      <w:r w:rsidRPr="00F87EE2">
        <w:rPr>
          <w:color w:val="000000" w:themeColor="text1"/>
        </w:rPr>
        <w:t>Interoperable</w:t>
      </w:r>
      <w:proofErr w:type="spellEnd"/>
      <w:r w:rsidRPr="00F87EE2">
        <w:rPr>
          <w:color w:val="000000" w:themeColor="text1"/>
        </w:rPr>
        <w:t xml:space="preserve">=Birlikte Çalışabilir, </w:t>
      </w:r>
      <w:proofErr w:type="spellStart"/>
      <w:r w:rsidRPr="00F87EE2">
        <w:rPr>
          <w:color w:val="000000" w:themeColor="text1"/>
        </w:rPr>
        <w:t>Reusable</w:t>
      </w:r>
      <w:proofErr w:type="spellEnd"/>
      <w:r w:rsidRPr="00F87EE2">
        <w:rPr>
          <w:color w:val="000000" w:themeColor="text1"/>
        </w:rPr>
        <w:t>=Yeniden Kullanılabilir) ve Avrupa Açık Bilim Bulutu teknik özellikleriyle ilgili sertifika gerekliliklerine uygunluğunu sağlamak,</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Arşive kaydı yapılan yazarların ORC-</w:t>
      </w:r>
      <w:proofErr w:type="spellStart"/>
      <w:r w:rsidRPr="00F87EE2">
        <w:rPr>
          <w:color w:val="000000" w:themeColor="text1"/>
        </w:rPr>
        <w:t>ID’lerinin</w:t>
      </w:r>
      <w:proofErr w:type="spellEnd"/>
      <w:r w:rsidRPr="00F87EE2">
        <w:rPr>
          <w:color w:val="000000" w:themeColor="text1"/>
        </w:rPr>
        <w:t xml:space="preserve"> kayıtlara eklenmesinden, ORC-</w:t>
      </w:r>
      <w:proofErr w:type="spellStart"/>
      <w:r w:rsidRPr="00F87EE2">
        <w:rPr>
          <w:color w:val="000000" w:themeColor="text1"/>
        </w:rPr>
        <w:t>ID’si</w:t>
      </w:r>
      <w:proofErr w:type="spellEnd"/>
      <w:r w:rsidRPr="00F87EE2">
        <w:rPr>
          <w:color w:val="000000" w:themeColor="text1"/>
        </w:rPr>
        <w:t xml:space="preserve"> olmayan yazarlara ORC-ID alınmak suretiyle kayıtlara eklenmesinden,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Arşivlerin, TÜBİTAK Türkiye Akademik Arşivi ve Uluslararası Harmanlama Sistemlerine uluslararası standartlarda veri sağlaması için OAI-PMH standartlarına göre veri üretilmesinden,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lastRenderedPageBreak/>
        <w:t>Akademik yükseltmede değerlendirilen yayınların Kurumsal Arşivde bulunmasının teşvik edilmesinden,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Üretilen akademik içeriğin uluslararası standartlarda işlemesi için ilgili teknik sorumluların belirlenmesinden,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YÖK tarafından düzenlenecek toplantılara ilgili personelin katılımının sağlanmasından,</w:t>
      </w:r>
    </w:p>
    <w:p w:rsidR="003B1C55" w:rsidRPr="00F87EE2" w:rsidRDefault="003B1C55" w:rsidP="003B1C55">
      <w:pPr>
        <w:pStyle w:val="ListeParagraf"/>
        <w:numPr>
          <w:ilvl w:val="0"/>
          <w:numId w:val="6"/>
        </w:numPr>
        <w:spacing w:after="200" w:line="276" w:lineRule="auto"/>
        <w:jc w:val="both"/>
        <w:rPr>
          <w:color w:val="000000" w:themeColor="text1"/>
        </w:rPr>
      </w:pPr>
      <w:r w:rsidRPr="00F87EE2">
        <w:rPr>
          <w:color w:val="000000" w:themeColor="text1"/>
        </w:rPr>
        <w:t xml:space="preserve">Kurumsal Arşiv Bilgi </w:t>
      </w:r>
      <w:proofErr w:type="spellStart"/>
      <w:r w:rsidRPr="00F87EE2">
        <w:rPr>
          <w:color w:val="000000" w:themeColor="text1"/>
        </w:rPr>
        <w:t>Formu’nun</w:t>
      </w:r>
      <w:proofErr w:type="spellEnd"/>
      <w:r w:rsidRPr="00F87EE2">
        <w:rPr>
          <w:color w:val="000000" w:themeColor="text1"/>
        </w:rPr>
        <w:t xml:space="preserve"> YÖK’ün belirlediği süreler içerisinde doldurulmasından sorumludur.</w:t>
      </w:r>
    </w:p>
    <w:p w:rsidR="003B1C55" w:rsidRPr="00F87EE2" w:rsidRDefault="003B1C55" w:rsidP="003B1C55">
      <w:pPr>
        <w:spacing w:after="0"/>
        <w:jc w:val="both"/>
        <w:rPr>
          <w:rFonts w:ascii="Times New Roman" w:hAnsi="Times New Roman" w:cs="Times New Roman"/>
          <w:color w:val="000000" w:themeColor="text1"/>
          <w:sz w:val="24"/>
          <w:szCs w:val="24"/>
        </w:rPr>
      </w:pPr>
    </w:p>
    <w:p w:rsidR="003B1C55" w:rsidRPr="00F87EE2"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Antalya Bilim Üniversitesi mensuplarının sorumlulukları aşağıda sayıldığı gibidir:</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Antalya Bilim Üniversitesi mensupları bulundukları yıl içerisinde gerçekleştirdikleri bilimsel çalışm</w:t>
      </w:r>
      <w:bookmarkStart w:id="0" w:name="_GoBack"/>
      <w:bookmarkEnd w:id="0"/>
      <w:r w:rsidRPr="00F87EE2">
        <w:rPr>
          <w:color w:val="000000" w:themeColor="text1"/>
        </w:rPr>
        <w:t>alarını ve yönerge yürürlüğe girdiği tarihten önce yazdıkları yayınları en geç o öğretim yılı sonuna kadar Kurumsal Arşivde depolamaktan sorumludur. Ancak patent başvurusu yapılması düşünülen çalışmalar başvuru gerçekleştikten sonra, patent yayını ile aynı tarihte depolanır.</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 xml:space="preserve">Antalya Bilim Üniversitesi yüksek lisans ve doktora öğrencileri tezlerini bitirdikleri tarihten sonra, en geç bir ay içerisinde bu tezleri Kurumsal Arşivde depolamak zorundadır. </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Antalya Bilim Üniversitesi mensupları birden fazla kurumdan, birden fazla yazarın işbirliği ile yaptıkları çalışmaları Kurumsal Arşivde depolar.</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Birden fazla Antalya Bilim Üniversitesi mensubu tarafından gerçekleştirilmiş çok yazarlı çalışmalarda kaynağın depolanma sorumluluğu başyazara aittir.</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Her Antalya Bilim Üniversitesi mensubu entelektüel katkı sağladığı çalışmasının Antalya Bilim Üniversitesi Açık Erişim Sistemi’nde kamuya açık olarak dağıtım ve koruma prensiplerine uygun olarak depolanacağını kabul eder. Her Antalya Bilim Üniversitesi mensubunun yayıncılarla yaptığı anlaşmalar çerçevesinde hakları saklıdır.</w:t>
      </w:r>
    </w:p>
    <w:p w:rsidR="003B1C55" w:rsidRPr="00F87EE2"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Antalya Bilim Üniversitesi Kütüphane ve Dokümantasyon Müdürlüğü, Antalya Bilim Üniversitesi mensuplarının Antalya Bilim Üniversitesi Açık Erişim Sistemi’ne aktardıkları bilimsel çalışmaların kayıtlarını Açık Arşivler Girişimi Üst Veri Harmanlama Protokolü (OAI-PMH) standartlarına göre kontrol eder. Gerekli durumlarda düzeltme için Antalya Bilim Üniversitesi mensuplarıyla birlikte çalışır.</w:t>
      </w:r>
    </w:p>
    <w:p w:rsidR="003B1C55" w:rsidRPr="003B1C55" w:rsidRDefault="003B1C55" w:rsidP="003B1C55">
      <w:pPr>
        <w:pStyle w:val="ListeParagraf"/>
        <w:numPr>
          <w:ilvl w:val="0"/>
          <w:numId w:val="7"/>
        </w:numPr>
        <w:spacing w:after="200" w:line="276" w:lineRule="auto"/>
        <w:jc w:val="both"/>
        <w:rPr>
          <w:color w:val="000000" w:themeColor="text1"/>
        </w:rPr>
      </w:pPr>
      <w:r w:rsidRPr="00F87EE2">
        <w:rPr>
          <w:color w:val="000000" w:themeColor="text1"/>
        </w:rPr>
        <w:t xml:space="preserve">Antalya Bilim Üniversitesi </w:t>
      </w:r>
      <w:proofErr w:type="spellStart"/>
      <w:r w:rsidRPr="00F87EE2">
        <w:rPr>
          <w:color w:val="000000" w:themeColor="text1"/>
        </w:rPr>
        <w:t>OpenAIRE</w:t>
      </w:r>
      <w:proofErr w:type="spellEnd"/>
      <w:r w:rsidRPr="00F87EE2">
        <w:rPr>
          <w:color w:val="000000" w:themeColor="text1"/>
        </w:rPr>
        <w:t xml:space="preserve"> uyumlu FAIR kalite standartlarını karşılar ve kayıtların uluslararası standartlarda uygun arşivlerle ve </w:t>
      </w:r>
      <w:proofErr w:type="spellStart"/>
      <w:r w:rsidRPr="00F87EE2">
        <w:rPr>
          <w:color w:val="000000" w:themeColor="text1"/>
        </w:rPr>
        <w:t>OpenAIRE</w:t>
      </w:r>
      <w:proofErr w:type="spellEnd"/>
      <w:r w:rsidRPr="00F87EE2">
        <w:rPr>
          <w:color w:val="000000" w:themeColor="text1"/>
        </w:rPr>
        <w:t xml:space="preserve"> Üst Veri Şeması aracılığıyla birlikte çalışabilir olmasını sağlar.</w:t>
      </w:r>
    </w:p>
    <w:p w:rsidR="003B1C55" w:rsidRDefault="003B1C55" w:rsidP="003B1C55">
      <w:pPr>
        <w:jc w:val="both"/>
        <w:rPr>
          <w:rFonts w:ascii="Times New Roman" w:hAnsi="Times New Roman" w:cs="Times New Roman"/>
          <w:color w:val="000000" w:themeColor="text1"/>
          <w:sz w:val="24"/>
          <w:szCs w:val="24"/>
        </w:rPr>
      </w:pPr>
    </w:p>
    <w:p w:rsidR="003B1C55" w:rsidRPr="005E51EF" w:rsidRDefault="003B1C55" w:rsidP="003B1C55">
      <w:pPr>
        <w:jc w:val="both"/>
        <w:rPr>
          <w:rFonts w:ascii="Times New Roman" w:hAnsi="Times New Roman" w:cs="Times New Roman"/>
          <w:color w:val="000000" w:themeColor="text1"/>
          <w:sz w:val="24"/>
          <w:szCs w:val="24"/>
        </w:rPr>
      </w:pPr>
      <w:r w:rsidRPr="005E51EF">
        <w:rPr>
          <w:rFonts w:ascii="Times New Roman" w:hAnsi="Times New Roman" w:cs="Times New Roman"/>
          <w:b/>
          <w:color w:val="000000" w:themeColor="text1"/>
          <w:sz w:val="24"/>
          <w:szCs w:val="24"/>
        </w:rPr>
        <w:t>İçerik</w:t>
      </w:r>
    </w:p>
    <w:p w:rsidR="003B1C55" w:rsidRPr="00F87EE2"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Kurumsal Arşivde;</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Bilimsel dergilerde yayınlanmış makaleler,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Yayınlanma aşamasından olan makaleler,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Yüksek lisans ve doktora tezleri,</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Konferans bildirileri,</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Seminer metinleri,</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lastRenderedPageBreak/>
        <w:t>Teknik notlar,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Proje çalışmaları,</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Kitap içinde bölümler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Ödüllü çalışmalar,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Patentler,</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Açık ders materyalleri,</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Fotoğraf,</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Harita,</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Veri setleri,</w:t>
      </w:r>
    </w:p>
    <w:p w:rsidR="003B1C55" w:rsidRPr="00F87EE2" w:rsidRDefault="003B1C55" w:rsidP="003B1C55">
      <w:pPr>
        <w:pStyle w:val="ListeParagraf"/>
        <w:numPr>
          <w:ilvl w:val="0"/>
          <w:numId w:val="9"/>
        </w:numPr>
        <w:spacing w:after="200" w:line="276" w:lineRule="auto"/>
        <w:jc w:val="both"/>
        <w:rPr>
          <w:b/>
          <w:i/>
          <w:color w:val="000000" w:themeColor="text1"/>
        </w:rPr>
      </w:pPr>
      <w:r w:rsidRPr="00F87EE2">
        <w:rPr>
          <w:color w:val="000000" w:themeColor="text1"/>
        </w:rPr>
        <w:t xml:space="preserve">Ses ve video dosyaları </w:t>
      </w:r>
    </w:p>
    <w:p w:rsidR="003B1C55" w:rsidRPr="00F87EE2" w:rsidRDefault="003B1C55" w:rsidP="003B1C55">
      <w:pPr>
        <w:jc w:val="both"/>
        <w:rPr>
          <w:rFonts w:ascii="Times New Roman" w:hAnsi="Times New Roman" w:cs="Times New Roman"/>
          <w:color w:val="000000" w:themeColor="text1"/>
          <w:sz w:val="24"/>
          <w:szCs w:val="24"/>
        </w:rPr>
      </w:pPr>
      <w:proofErr w:type="gramStart"/>
      <w:r w:rsidRPr="00F87EE2">
        <w:rPr>
          <w:rFonts w:ascii="Times New Roman" w:hAnsi="Times New Roman" w:cs="Times New Roman"/>
          <w:color w:val="000000" w:themeColor="text1"/>
          <w:sz w:val="24"/>
          <w:szCs w:val="24"/>
        </w:rPr>
        <w:t>ve</w:t>
      </w:r>
      <w:proofErr w:type="gramEnd"/>
      <w:r w:rsidRPr="00F87EE2">
        <w:rPr>
          <w:rFonts w:ascii="Times New Roman" w:hAnsi="Times New Roman" w:cs="Times New Roman"/>
          <w:color w:val="000000" w:themeColor="text1"/>
          <w:sz w:val="24"/>
          <w:szCs w:val="24"/>
        </w:rPr>
        <w:t xml:space="preserve"> benzeri arşiv niteliği taşıyan içerikler yer alır.</w:t>
      </w:r>
    </w:p>
    <w:p w:rsidR="003B1C55" w:rsidRPr="005E51EF" w:rsidRDefault="003B1C55" w:rsidP="003B1C55">
      <w:pPr>
        <w:jc w:val="both"/>
        <w:rPr>
          <w:rFonts w:ascii="Times New Roman" w:hAnsi="Times New Roman" w:cs="Times New Roman"/>
          <w:b/>
          <w:color w:val="000000" w:themeColor="text1"/>
          <w:sz w:val="24"/>
          <w:szCs w:val="24"/>
        </w:rPr>
      </w:pPr>
      <w:r w:rsidRPr="005E51EF">
        <w:rPr>
          <w:rFonts w:ascii="Times New Roman" w:hAnsi="Times New Roman" w:cs="Times New Roman"/>
          <w:b/>
          <w:color w:val="000000" w:themeColor="text1"/>
          <w:sz w:val="24"/>
          <w:szCs w:val="24"/>
        </w:rPr>
        <w:t>Yayınlama ve Yararlanma Hakkı</w:t>
      </w:r>
    </w:p>
    <w:p w:rsidR="003B1C55" w:rsidRPr="00F87EE2" w:rsidRDefault="003B1C55" w:rsidP="003B1C55">
      <w:pPr>
        <w:jc w:val="both"/>
        <w:rPr>
          <w:rFonts w:ascii="Times New Roman" w:hAnsi="Times New Roman" w:cs="Times New Roman"/>
          <w:color w:val="000000" w:themeColor="text1"/>
          <w:sz w:val="24"/>
          <w:szCs w:val="24"/>
        </w:rPr>
      </w:pPr>
      <w:r w:rsidRPr="00F87EE2">
        <w:rPr>
          <w:rFonts w:ascii="Times New Roman" w:hAnsi="Times New Roman" w:cs="Times New Roman"/>
          <w:color w:val="000000" w:themeColor="text1"/>
          <w:sz w:val="24"/>
          <w:szCs w:val="24"/>
        </w:rPr>
        <w:t>Antalya Bilim Üniversitesi Kurumsal Arşiv Sistemi’nde</w:t>
      </w:r>
      <w:r w:rsidRPr="00F87EE2">
        <w:rPr>
          <w:rFonts w:ascii="Times New Roman" w:hAnsi="Times New Roman" w:cs="Times New Roman"/>
          <w:b/>
          <w:color w:val="000000" w:themeColor="text1"/>
          <w:sz w:val="24"/>
          <w:szCs w:val="24"/>
        </w:rPr>
        <w:t xml:space="preserve"> </w:t>
      </w:r>
      <w:r w:rsidRPr="00F87EE2">
        <w:rPr>
          <w:rFonts w:ascii="Times New Roman" w:hAnsi="Times New Roman" w:cs="Times New Roman"/>
          <w:color w:val="000000" w:themeColor="text1"/>
          <w:sz w:val="24"/>
          <w:szCs w:val="24"/>
        </w:rPr>
        <w:t>bilgi kaynaklarını yayınlama ve onlardan yararlanma hakkı aşağıda belirlenen koşullarda gerçekleştirilir:</w:t>
      </w:r>
    </w:p>
    <w:p w:rsidR="003B1C55" w:rsidRPr="00F87EE2" w:rsidRDefault="003B1C55" w:rsidP="003B1C55">
      <w:pPr>
        <w:pStyle w:val="ListeParagraf"/>
        <w:numPr>
          <w:ilvl w:val="0"/>
          <w:numId w:val="8"/>
        </w:numPr>
        <w:spacing w:after="200" w:line="276" w:lineRule="auto"/>
        <w:jc w:val="both"/>
        <w:rPr>
          <w:color w:val="000000" w:themeColor="text1"/>
        </w:rPr>
      </w:pPr>
      <w:r w:rsidRPr="00F87EE2">
        <w:rPr>
          <w:color w:val="000000" w:themeColor="text1"/>
        </w:rPr>
        <w:t>Antalya Bilim Üniversitesi Açık Erişim Sistemi’nde, çalışmaların tam metin olarak yer alması, yazarın kararına bağlıdır.</w:t>
      </w:r>
    </w:p>
    <w:p w:rsidR="003B1C55" w:rsidRPr="00F87EE2" w:rsidRDefault="003B1C55" w:rsidP="003B1C55">
      <w:pPr>
        <w:pStyle w:val="ListeParagraf"/>
        <w:numPr>
          <w:ilvl w:val="0"/>
          <w:numId w:val="8"/>
        </w:numPr>
        <w:spacing w:after="200" w:line="276" w:lineRule="auto"/>
        <w:jc w:val="both"/>
        <w:rPr>
          <w:color w:val="000000" w:themeColor="text1"/>
        </w:rPr>
      </w:pPr>
      <w:r w:rsidRPr="00F87EE2">
        <w:rPr>
          <w:color w:val="000000" w:themeColor="text1"/>
        </w:rPr>
        <w:t>Herkes, Antalya Bilim Üniversitesi Kurumsal Arşiv Sistemi’nde kayıtlı çalışmalara serbestçe erişebilir.</w:t>
      </w:r>
    </w:p>
    <w:p w:rsidR="003B1C55" w:rsidRPr="00F87EE2" w:rsidRDefault="003B1C55" w:rsidP="003B1C55">
      <w:pPr>
        <w:pStyle w:val="ListeParagraf"/>
        <w:numPr>
          <w:ilvl w:val="0"/>
          <w:numId w:val="8"/>
        </w:numPr>
        <w:spacing w:after="200" w:line="276" w:lineRule="auto"/>
        <w:jc w:val="both"/>
        <w:rPr>
          <w:color w:val="000000" w:themeColor="text1"/>
        </w:rPr>
      </w:pPr>
      <w:r w:rsidRPr="00F87EE2">
        <w:rPr>
          <w:color w:val="000000" w:themeColor="text1"/>
        </w:rPr>
        <w:t>Herhangi bir dergide yayınlanmış veya yayınlanma kararı alınmış çalışmalar dergideki formatı ile Kurumsal Arşivde yer alabilir. Telif hakkı üçüncü kişi veya kurumlarda olan yayınlar, Kurumsal Arşive ilgili hakkın koşullarına göre kaydedilir.</w:t>
      </w:r>
    </w:p>
    <w:p w:rsidR="003B1C55" w:rsidRPr="00F87EE2" w:rsidRDefault="003B1C55" w:rsidP="003B1C55">
      <w:pPr>
        <w:pStyle w:val="ListeParagraf"/>
        <w:numPr>
          <w:ilvl w:val="0"/>
          <w:numId w:val="8"/>
        </w:numPr>
        <w:spacing w:after="200" w:line="276" w:lineRule="auto"/>
        <w:jc w:val="both"/>
        <w:rPr>
          <w:color w:val="000000" w:themeColor="text1"/>
        </w:rPr>
      </w:pPr>
      <w:r w:rsidRPr="00F87EE2">
        <w:rPr>
          <w:color w:val="000000" w:themeColor="text1"/>
        </w:rPr>
        <w:t>Antalya Bilim Üniversitesi Açık Erişim Sistemi’nde yer alan bilgi kaynakları kullanıldığında, kullanan kişi tarafından Kurumsal Arşivin kaynak gösterilmesi bilimsel etik açısından gerekli ve zorunludur.</w:t>
      </w:r>
    </w:p>
    <w:p w:rsidR="00A01342" w:rsidRPr="003B1C55" w:rsidRDefault="003B1C55" w:rsidP="003B1C55">
      <w:pPr>
        <w:pStyle w:val="ListeParagraf"/>
        <w:numPr>
          <w:ilvl w:val="0"/>
          <w:numId w:val="8"/>
        </w:numPr>
        <w:spacing w:after="200" w:line="276" w:lineRule="auto"/>
        <w:jc w:val="both"/>
        <w:rPr>
          <w:color w:val="000000" w:themeColor="text1"/>
        </w:rPr>
      </w:pPr>
      <w:r w:rsidRPr="00F87EE2">
        <w:rPr>
          <w:color w:val="000000" w:themeColor="text1"/>
        </w:rPr>
        <w:t>Araştırma verileri için minimum arşiv süresi, kalıcı bir tanımlayıcının atanmasından sonra 10 yıldır. Gerekli arşiv süresinin sona ermesinden sonra veya yasal ve etik nedenlerden dolayı bu kayıtların silinmesi veya imha edilmesi durumunda, bu tür eylemlerin tüm yasal ve etik perspektiflerinin dikkate alınması gerekmektedir.</w:t>
      </w:r>
    </w:p>
    <w:sectPr w:rsidR="00A01342" w:rsidRPr="003B1C5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87F" w:rsidRDefault="005B587F" w:rsidP="00B40393">
      <w:pPr>
        <w:spacing w:after="0" w:line="240" w:lineRule="auto"/>
      </w:pPr>
      <w:r>
        <w:separator/>
      </w:r>
    </w:p>
  </w:endnote>
  <w:endnote w:type="continuationSeparator" w:id="0">
    <w:p w:rsidR="005B587F" w:rsidRDefault="005B587F"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87F" w:rsidRDefault="005B587F" w:rsidP="00B40393">
      <w:pPr>
        <w:spacing w:after="0" w:line="240" w:lineRule="auto"/>
      </w:pPr>
      <w:r>
        <w:separator/>
      </w:r>
    </w:p>
  </w:footnote>
  <w:footnote w:type="continuationSeparator" w:id="0">
    <w:p w:rsidR="005B587F" w:rsidRDefault="005B587F"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1" w15:restartNumberingAfterBreak="0">
    <w:nsid w:val="27593BDE"/>
    <w:multiLevelType w:val="hybridMultilevel"/>
    <w:tmpl w:val="6BA07B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80023"/>
    <w:multiLevelType w:val="hybridMultilevel"/>
    <w:tmpl w:val="EA324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 w15:restartNumberingAfterBreak="0">
    <w:nsid w:val="34F60A1A"/>
    <w:multiLevelType w:val="hybridMultilevel"/>
    <w:tmpl w:val="92CAD01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5B5B0CB0"/>
    <w:multiLevelType w:val="hybridMultilevel"/>
    <w:tmpl w:val="BC92D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517509"/>
    <w:multiLevelType w:val="hybridMultilevel"/>
    <w:tmpl w:val="0074BE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71203C"/>
    <w:multiLevelType w:val="hybridMultilevel"/>
    <w:tmpl w:val="32E84CC4"/>
    <w:lvl w:ilvl="0" w:tplc="60225F8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5"/>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162C38"/>
    <w:rsid w:val="001A0B0A"/>
    <w:rsid w:val="00214BF8"/>
    <w:rsid w:val="002B7803"/>
    <w:rsid w:val="002E43DB"/>
    <w:rsid w:val="003B1C55"/>
    <w:rsid w:val="00404A9B"/>
    <w:rsid w:val="0041512B"/>
    <w:rsid w:val="004952F3"/>
    <w:rsid w:val="0050372F"/>
    <w:rsid w:val="00513BFA"/>
    <w:rsid w:val="005B587F"/>
    <w:rsid w:val="005C06B2"/>
    <w:rsid w:val="00643146"/>
    <w:rsid w:val="007439A2"/>
    <w:rsid w:val="0079711E"/>
    <w:rsid w:val="008C777F"/>
    <w:rsid w:val="00925DAD"/>
    <w:rsid w:val="00985434"/>
    <w:rsid w:val="00A01342"/>
    <w:rsid w:val="00A04ACA"/>
    <w:rsid w:val="00B40393"/>
    <w:rsid w:val="00D35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C3D6"/>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938</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12</cp:revision>
  <dcterms:created xsi:type="dcterms:W3CDTF">2024-08-07T11:12:00Z</dcterms:created>
  <dcterms:modified xsi:type="dcterms:W3CDTF">2024-08-08T08:01:00Z</dcterms:modified>
</cp:coreProperties>
</file>