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6BF" w:rsidRDefault="00EB36BF">
      <w:pPr>
        <w:rPr>
          <w:b/>
          <w:color w:val="FF0000"/>
          <w:sz w:val="24"/>
          <w:szCs w:val="24"/>
        </w:rPr>
      </w:pPr>
      <w:bookmarkStart w:id="0" w:name="_GoBack"/>
      <w:bookmarkEnd w:id="0"/>
    </w:p>
    <w:p w:rsidR="00EB36BF" w:rsidRDefault="00EB36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6BF" w:rsidRDefault="00154112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T.C. ANTALYA BİLİM ÜNİVERSİTESİ</w:t>
      </w:r>
    </w:p>
    <w:p w:rsidR="00EB36BF" w:rsidRDefault="00154112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ULUSLARARASILAŞMA POLİTİKASI</w:t>
      </w:r>
    </w:p>
    <w:p w:rsidR="00EB36BF" w:rsidRDefault="00EB36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6BF" w:rsidRDefault="00154112">
      <w:pPr>
        <w:pStyle w:val="NormalWeb"/>
        <w:keepNext/>
        <w:numPr>
          <w:ilvl w:val="0"/>
          <w:numId w:val="1"/>
        </w:numPr>
        <w:spacing w:before="80" w:beforeAutospacing="0" w:after="40" w:afterAutospacing="0"/>
        <w:rPr>
          <w:b/>
          <w:bCs/>
        </w:rPr>
      </w:pPr>
      <w:r>
        <w:rPr>
          <w:b/>
        </w:rPr>
        <w:t>Amaç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Politikanın amacı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 xml:space="preserve">Antalya Bilim Üniversitesi Uluslararasılaşma Politikasının amacı, uluslararası akademik iş birliklerini güçlendirerek ortak akademik üretimi artırmak; çok kültürlü bir </w:t>
      </w:r>
      <w:r>
        <w:t>akademik ortamın gelişmesini desteklemek; öğrenci, akademik ve idari personel değişim programlarını çeşitlendirerek uluslararası hareketliliği yaygınlaştırmak ve uluslararası etkinlikler ile sosyal medya başta olmak üzere dijital iletişim kanalları aracılı</w:t>
      </w:r>
      <w:r>
        <w:t>ğıyla üniversitenin küresel görünürlüğünü ve paydaşlarla etkileşimini güçlendirmektir.</w:t>
      </w:r>
    </w:p>
    <w:p w:rsidR="00EB36BF" w:rsidRDefault="00154112">
      <w:pPr>
        <w:pStyle w:val="NormalWeb"/>
        <w:keepNext/>
        <w:numPr>
          <w:ilvl w:val="0"/>
          <w:numId w:val="1"/>
        </w:numPr>
        <w:spacing w:before="80" w:beforeAutospacing="0" w:after="40" w:afterAutospacing="0"/>
        <w:rPr>
          <w:b/>
          <w:bCs/>
        </w:rPr>
      </w:pPr>
      <w:r>
        <w:rPr>
          <w:b/>
        </w:rPr>
        <w:t>Temel ilkeler ve politika esasları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Bütünleşik uluslararasılaşma yaklaşımı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Antalya Bilim Üniversitesi, uluslararasılaşmayı eğitim-öğretim, araştırma-geliştirme, toplumsal</w:t>
      </w:r>
      <w:r>
        <w:t xml:space="preserve"> katkı ve kurumsal gelişim süreçlerinin bütünleyici bir unsuru olarak ele alır. Üniversite, yükseköğretimde değişen küresel dinamikleri gözeterek uluslararası akademik ağların etkin bir parçası olmayı, uluslararası standartlarla uyumlu bir akademik ortam g</w:t>
      </w:r>
      <w:r>
        <w:t>eliştirmeyi ve öğrenciler ile akademik kadro için nitelikli, kapsayıcı ve çok kültürlü bir üniversite deneyimi oluşturmayı benimser. Bu çerçevede uluslararasılaşma, Üniversitenin akademik niteliğini, kurumsal marka değerini, küresel görünürlüğünü ve ulusla</w:t>
      </w:r>
      <w:r>
        <w:t>rarası tanınırlığını güçlendiren stratejik bir araçtır.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Yönetişim ve temel ilkeler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Üniversite, uluslararasılaşma süreçlerinde şeffaf, katılımcı, hesap verebilir ve kapsayıcı bir yönetişim anlayışını esas alır. Uluslararası paydaşlarla yürütülen iş birlikle</w:t>
      </w:r>
      <w:r>
        <w:t>rinde etik değerlere ve insan hakları normlarına bağlılık, karşılıklı yarar, akademik özgürlük, kalite güvencesi ve sürdürülebilirlik temel ilkeler olarak kabul edilir.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Kalite güvencesi ve akreditasyon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Uluslararasılaşma faaliyetleri, Üniversitenin kalite g</w:t>
      </w:r>
      <w:r>
        <w:t>üvencesi sistemiyle uyumlu biçimde planlanır, yürütülür ve değerlendirilir; ulusal ve uluslararası akreditasyon süreçleri, akademik niteliğin geliştirilmesi ve uluslararası standartlara uyumun güçlendirilmesi açısından desteklenir.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Eğitim-öğretimde uluslar</w:t>
      </w:r>
      <w:r>
        <w:rPr>
          <w:b/>
        </w:rPr>
        <w:t>arasılaşma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Eğitim-öğretim alanında Antalya Bilim Üniversitesi, öğrencilerin küresel bakış açısı kazanmalarını, farklı kültürlerle etkileşim içinde öğrenmelerini ve uluslararası akademik deneyimlerden yararlanmalarını destekler. Uluslararası öğrencilerin ve</w:t>
      </w:r>
      <w:r>
        <w:t xml:space="preserve"> akademisyenlerin katılımıyla çok kültürlü kampüs ortamının geliştirilmesi; öğrencilerin, akademik ve idari personelin Erasmus+ başta olmak üzere değişim </w:t>
      </w:r>
      <w:r>
        <w:lastRenderedPageBreak/>
        <w:t>programlarından etkin biçimde yararlanması; yabancı dilde eğitim olanaklarının güçlendirilmesi; akadem</w:t>
      </w:r>
      <w:r>
        <w:t>ik ve idari personelin yabancı dil yetkinliklerinin artırılması ve çok dilli kurumsal iletişimin geliştirilmesi öncelikli alanlar arasında yer alır. Dijitalleşmenin sunduğu olanaklar doğrultusunda sanal değişim programları, çevrim içi ortak dersler, ulusla</w:t>
      </w:r>
      <w:r>
        <w:t>rarası dijital akademik etkinlikler ve uzaktan iş birliği modelleri desteklenerek uluslararasılaşmanın erişilebilirliği artırılır.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Araştırma-geliştirmede uluslararasılaşma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Araştırma-geliştirme alanında Üniversite, uluslararası ortaklı proje, yayın, bilimse</w:t>
      </w:r>
      <w:r>
        <w:t xml:space="preserve">l etkinlik ve araştırma ağlarına katılımı teşvik eder. Uluslararasılaşma, üniversitenin araştırma kapasitesini güçlendirmek, dış fon kaynaklarından yararlanma düzeyini artırmak, araştırmacıların yurt dışı akademik deneyimlerini desteklemek ve uluslararası </w:t>
      </w:r>
      <w:r>
        <w:t>nitelikte ortak akademik üretimi geliştirmek amacıyla yürütülür. Bu doğrultuda uluslararası üniversiteler, araştırma merkezleri, uluslararası kuruluşlar ve sektörel paydaşlarla sürdürülebilir akademik etkileşim kanalları oluşturulur.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Toplumsal katkı ve sür</w:t>
      </w:r>
      <w:r>
        <w:rPr>
          <w:b/>
        </w:rPr>
        <w:t>dürülebilirlik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Toplumsal katkı ve sürdürülebilirlik anlayışı çerçevesinde Üniversite, uluslararası iş birlikleri yoluyla edinilen bilgi, deneyim ve iyi uygulamaların yerel, ulusal ve küresel düzeyde toplumsal faydaya dönüşmesini hedefler. Bölgesel ve küres</w:t>
      </w:r>
      <w:r>
        <w:t>el sorunlara yönelik çözüm üretme kapasitesinin geliştirilmesi, Birleşmiş Milletler Sürdürülebilir Kalkınma Hedeflerine katkı sunulması, hayat boyu öğrenme olanaklarının desteklenmesi ve sosyal etki odaklı uluslararası çalışmaların yaygınlaştırılması bu ya</w:t>
      </w:r>
      <w:r>
        <w:t>klaşımın parçasıdır.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Eşit katılım ve kapsayıcılık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Uluslararasılaşma süreçlerinde fırsat eşitliği gözetilir; cinsiyet eşitliği, erişilebilirlik ve kapsayıcılık temel ilkeler olarak benimsenir. Sosyoekonomik açıdan dezavantajlı grupların, özel gereksinimli k</w:t>
      </w:r>
      <w:r>
        <w:t>işilerin ve farklı kültürel geçmişlere sahip paydaşların uluslararası faaliyetlere eşit katılımı desteklenir.</w:t>
      </w:r>
    </w:p>
    <w:p w:rsidR="00EB36BF" w:rsidRDefault="00154112">
      <w:pPr>
        <w:pStyle w:val="NormalWeb"/>
        <w:keepNext/>
        <w:numPr>
          <w:ilvl w:val="0"/>
          <w:numId w:val="1"/>
        </w:numPr>
        <w:spacing w:before="80" w:beforeAutospacing="0" w:after="40" w:afterAutospacing="0"/>
        <w:rPr>
          <w:b/>
          <w:bCs/>
        </w:rPr>
      </w:pPr>
      <w:r>
        <w:rPr>
          <w:b/>
        </w:rPr>
        <w:t>Stratejik planla uyum, izleme ve güncelleme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Stratejik planla uyum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 xml:space="preserve">Politika Belgesi, Antalya Bilim Üniversitesi’nin 2026-2030 Stratejik Planı’nda </w:t>
      </w:r>
      <w:r>
        <w:t>tanımlanan uluslararasılaşma, kalite güvencesi, dijital dönüşüm, araştırma kapasitesi, toplumsal katkı ve kurumsal kapasite geliştirme hedefleriyle uyumlu olarak uygulanır. Üniversitenin uluslararası akademik ortaklıkları güçlendirme, uluslararası eğitim k</w:t>
      </w:r>
      <w:r>
        <w:t>urumları ve kuruluşlarla sürdürülebilir iş birlikleri kurma, değişim programlarının çeşitliliğini ve etkinliğini artırma, öğrenci ve personel hareketliliğini yaygınlaştırma ve çok kültürlü kampüs ortamını geliştirme yönündeki stratejik hedefleri, bu politi</w:t>
      </w:r>
      <w:r>
        <w:t>kanın temel uygulama çerçevesini oluşturur.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lastRenderedPageBreak/>
        <w:t>Bütünleşik uygulama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Uluslararasılaşma politikası; stratejik plan, performans programları, kalite güvencesi süreçleri, kurumsal iç değerlendirme çalışmaları, akreditasyon hazırlıkları ve ilgili birimlerin eylem pl</w:t>
      </w:r>
      <w:r>
        <w:t>anlarıyla bütünlük içinde yürütülür.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Paydaş katılımı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Politikanın uygulanmasında öğrenci, akademik personel, idari personel, mezunlar ve uluslararası paydaşların görüşleri dikkate alınır.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İzleme ve değerlendirme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Uluslararası iş birlikleri, değişim programla</w:t>
      </w:r>
      <w:r>
        <w:t>rı, uluslararası öğrenci ve akademisyen hareketliliği, yabancı dilde eğitim olanakları, uluslararası ortak yayın ve proje çıktıları, uluslararası etkinlikler, dijital görünürlük ve paydaş etkileşimi düzenli olarak izlenir.</w:t>
      </w:r>
    </w:p>
    <w:p w:rsidR="00EB36BF" w:rsidRDefault="00154112">
      <w:pPr>
        <w:pStyle w:val="NormalWeb"/>
        <w:keepNext/>
        <w:numPr>
          <w:ilvl w:val="1"/>
          <w:numId w:val="1"/>
        </w:numPr>
        <w:spacing w:before="20" w:after="0"/>
      </w:pPr>
      <w:r>
        <w:rPr>
          <w:b/>
        </w:rPr>
        <w:t>Gözden geçirme ve güncelleme</w:t>
      </w:r>
    </w:p>
    <w:p w:rsidR="00EB36BF" w:rsidRDefault="00154112">
      <w:pPr>
        <w:pStyle w:val="NormalWeb"/>
        <w:spacing w:before="0" w:beforeAutospacing="0" w:after="0" w:afterAutospacing="0" w:line="252" w:lineRule="auto"/>
        <w:ind w:left="720"/>
        <w:jc w:val="both"/>
      </w:pPr>
      <w:r>
        <w:t>Poli</w:t>
      </w:r>
      <w:r>
        <w:t>tika Belgesi, kurumsal öncelikler, stratejik plan hedefleri, kalite güvencesi bulguları, ulusal ve uluslararası yükseköğretim politikaları, küresel gelişmeler ve paydaş geri bildirimleri doğrultusunda gerektiğinde gözden geçirilir ve güncellenir. Böylece A</w:t>
      </w:r>
      <w:r>
        <w:t>ntalya Bilim Üniversitesi’nin uluslararasılaşma yaklaşımının güncel, uygulanabilir, ölçülebilir ve sürdürülebilir bir kurumsal çerçeve içinde gelişmesi sağlanır.</w:t>
      </w:r>
    </w:p>
    <w:sectPr w:rsidR="00EB36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112" w:rsidRDefault="00154112" w:rsidP="00C71A4A">
      <w:r>
        <w:separator/>
      </w:r>
    </w:p>
  </w:endnote>
  <w:endnote w:type="continuationSeparator" w:id="0">
    <w:p w:rsidR="00154112" w:rsidRDefault="00154112" w:rsidP="00C7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2713042"/>
      <w:docPartObj>
        <w:docPartGallery w:val="Page Numbers (Bottom of Page)"/>
        <w:docPartUnique/>
      </w:docPartObj>
    </w:sdtPr>
    <w:sdtEndPr/>
    <w:sdtContent>
      <w:p w:rsidR="00CB32F2" w:rsidRDefault="00CB32F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34">
          <w:rPr>
            <w:noProof/>
          </w:rPr>
          <w:t>1</w:t>
        </w:r>
        <w:r>
          <w:fldChar w:fldCharType="end"/>
        </w:r>
      </w:p>
    </w:sdtContent>
  </w:sdt>
  <w:p w:rsidR="00C71A4A" w:rsidRDefault="00C71A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112" w:rsidRDefault="00154112" w:rsidP="00C71A4A">
      <w:r>
        <w:separator/>
      </w:r>
    </w:p>
  </w:footnote>
  <w:footnote w:type="continuationSeparator" w:id="0">
    <w:p w:rsidR="00154112" w:rsidRDefault="00154112" w:rsidP="00C71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6DB"/>
    <w:multiLevelType w:val="multilevel"/>
    <w:tmpl w:val="417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64E9"/>
    <w:multiLevelType w:val="multilevel"/>
    <w:tmpl w:val="2DC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A5A67"/>
    <w:multiLevelType w:val="multilevel"/>
    <w:tmpl w:val="C3D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0676"/>
    <w:multiLevelType w:val="multilevel"/>
    <w:tmpl w:val="011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A6D6A"/>
    <w:multiLevelType w:val="multilevel"/>
    <w:tmpl w:val="736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6BEE"/>
    <w:multiLevelType w:val="multilevel"/>
    <w:tmpl w:val="924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32B29"/>
    <w:multiLevelType w:val="multilevel"/>
    <w:tmpl w:val="F2D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36A1"/>
    <w:multiLevelType w:val="multilevel"/>
    <w:tmpl w:val="D54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721D"/>
    <w:multiLevelType w:val="multilevel"/>
    <w:tmpl w:val="0DBC3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C6C5B"/>
    <w:multiLevelType w:val="multilevel"/>
    <w:tmpl w:val="556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D268A"/>
    <w:multiLevelType w:val="multilevel"/>
    <w:tmpl w:val="7AA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64B4B"/>
    <w:multiLevelType w:val="multilevel"/>
    <w:tmpl w:val="8C14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A54980"/>
    <w:multiLevelType w:val="multilevel"/>
    <w:tmpl w:val="E2F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913FD"/>
    <w:multiLevelType w:val="multilevel"/>
    <w:tmpl w:val="1E8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CB5DC2"/>
    <w:multiLevelType w:val="multilevel"/>
    <w:tmpl w:val="25E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11CF5"/>
    <w:multiLevelType w:val="multilevel"/>
    <w:tmpl w:val="36C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6219A"/>
    <w:multiLevelType w:val="multilevel"/>
    <w:tmpl w:val="98E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24B5E"/>
    <w:multiLevelType w:val="multilevel"/>
    <w:tmpl w:val="402421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A925B8"/>
    <w:multiLevelType w:val="hybridMultilevel"/>
    <w:tmpl w:val="AA7AA5C0"/>
    <w:lvl w:ilvl="0" w:tplc="C77EB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934C3"/>
    <w:multiLevelType w:val="multilevel"/>
    <w:tmpl w:val="BDA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11264"/>
    <w:multiLevelType w:val="multilevel"/>
    <w:tmpl w:val="6FC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364039"/>
    <w:multiLevelType w:val="multilevel"/>
    <w:tmpl w:val="247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420FD"/>
    <w:multiLevelType w:val="multilevel"/>
    <w:tmpl w:val="9A6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C2E2C"/>
    <w:multiLevelType w:val="multilevel"/>
    <w:tmpl w:val="2D6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0720F3"/>
    <w:multiLevelType w:val="multilevel"/>
    <w:tmpl w:val="924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AE48E6"/>
    <w:multiLevelType w:val="multilevel"/>
    <w:tmpl w:val="B69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DD2226"/>
    <w:multiLevelType w:val="multilevel"/>
    <w:tmpl w:val="A5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982C9A"/>
    <w:multiLevelType w:val="multilevel"/>
    <w:tmpl w:val="B20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679BB"/>
    <w:multiLevelType w:val="multilevel"/>
    <w:tmpl w:val="B59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04"/>
    <w:rsid w:val="00002D8C"/>
    <w:rsid w:val="00022134"/>
    <w:rsid w:val="00037D35"/>
    <w:rsid w:val="00043A04"/>
    <w:rsid w:val="0009146C"/>
    <w:rsid w:val="000A0C8A"/>
    <w:rsid w:val="000C1E1C"/>
    <w:rsid w:val="000C7FA1"/>
    <w:rsid w:val="000D68D6"/>
    <w:rsid w:val="000F7189"/>
    <w:rsid w:val="00131C36"/>
    <w:rsid w:val="00154112"/>
    <w:rsid w:val="0016231F"/>
    <w:rsid w:val="001963EB"/>
    <w:rsid w:val="001A6DD0"/>
    <w:rsid w:val="002015F0"/>
    <w:rsid w:val="00207493"/>
    <w:rsid w:val="00275232"/>
    <w:rsid w:val="002B36E9"/>
    <w:rsid w:val="00330234"/>
    <w:rsid w:val="00330783"/>
    <w:rsid w:val="0033785A"/>
    <w:rsid w:val="00351737"/>
    <w:rsid w:val="003730F8"/>
    <w:rsid w:val="0039097B"/>
    <w:rsid w:val="00391A1D"/>
    <w:rsid w:val="003B3B0F"/>
    <w:rsid w:val="003D51D2"/>
    <w:rsid w:val="003E1D62"/>
    <w:rsid w:val="004238FB"/>
    <w:rsid w:val="00427C97"/>
    <w:rsid w:val="00440FDC"/>
    <w:rsid w:val="00454943"/>
    <w:rsid w:val="0045501F"/>
    <w:rsid w:val="00470A6C"/>
    <w:rsid w:val="004A06CF"/>
    <w:rsid w:val="004B4E0D"/>
    <w:rsid w:val="004E02B7"/>
    <w:rsid w:val="004E18B3"/>
    <w:rsid w:val="004E230D"/>
    <w:rsid w:val="004E4FC0"/>
    <w:rsid w:val="00504482"/>
    <w:rsid w:val="0052344B"/>
    <w:rsid w:val="00542DCD"/>
    <w:rsid w:val="005509EB"/>
    <w:rsid w:val="005600DA"/>
    <w:rsid w:val="005A467E"/>
    <w:rsid w:val="005C25F5"/>
    <w:rsid w:val="00617B18"/>
    <w:rsid w:val="006225DC"/>
    <w:rsid w:val="006429E3"/>
    <w:rsid w:val="00670EEC"/>
    <w:rsid w:val="0069719E"/>
    <w:rsid w:val="006C0EF9"/>
    <w:rsid w:val="006F0DF4"/>
    <w:rsid w:val="00702DBD"/>
    <w:rsid w:val="00731A61"/>
    <w:rsid w:val="00762759"/>
    <w:rsid w:val="007817E8"/>
    <w:rsid w:val="007930C2"/>
    <w:rsid w:val="007B093E"/>
    <w:rsid w:val="007B7186"/>
    <w:rsid w:val="007E130A"/>
    <w:rsid w:val="007E1730"/>
    <w:rsid w:val="007E34C2"/>
    <w:rsid w:val="00802507"/>
    <w:rsid w:val="00843530"/>
    <w:rsid w:val="00912F51"/>
    <w:rsid w:val="00920AAB"/>
    <w:rsid w:val="00920D1A"/>
    <w:rsid w:val="009229AA"/>
    <w:rsid w:val="00933AB9"/>
    <w:rsid w:val="009478C6"/>
    <w:rsid w:val="009723F8"/>
    <w:rsid w:val="009736EA"/>
    <w:rsid w:val="00974DEB"/>
    <w:rsid w:val="00985B7B"/>
    <w:rsid w:val="009E626E"/>
    <w:rsid w:val="00A06871"/>
    <w:rsid w:val="00A17EE5"/>
    <w:rsid w:val="00A37318"/>
    <w:rsid w:val="00A41E04"/>
    <w:rsid w:val="00A7359A"/>
    <w:rsid w:val="00AB3ED1"/>
    <w:rsid w:val="00AD1054"/>
    <w:rsid w:val="00B12AC2"/>
    <w:rsid w:val="00B171E3"/>
    <w:rsid w:val="00B37663"/>
    <w:rsid w:val="00B37AE5"/>
    <w:rsid w:val="00B834B4"/>
    <w:rsid w:val="00B8487D"/>
    <w:rsid w:val="00BE40AA"/>
    <w:rsid w:val="00C03C0C"/>
    <w:rsid w:val="00C71A4A"/>
    <w:rsid w:val="00C72EDB"/>
    <w:rsid w:val="00CA36BD"/>
    <w:rsid w:val="00CB32F2"/>
    <w:rsid w:val="00CF268A"/>
    <w:rsid w:val="00D10FCB"/>
    <w:rsid w:val="00D519CC"/>
    <w:rsid w:val="00D52F02"/>
    <w:rsid w:val="00D70C94"/>
    <w:rsid w:val="00D841DF"/>
    <w:rsid w:val="00D9340F"/>
    <w:rsid w:val="00DC788D"/>
    <w:rsid w:val="00DF132C"/>
    <w:rsid w:val="00DF3552"/>
    <w:rsid w:val="00DF362F"/>
    <w:rsid w:val="00E05B59"/>
    <w:rsid w:val="00E20F69"/>
    <w:rsid w:val="00E42086"/>
    <w:rsid w:val="00E52193"/>
    <w:rsid w:val="00E80F1B"/>
    <w:rsid w:val="00EB36BF"/>
    <w:rsid w:val="00ED12AB"/>
    <w:rsid w:val="00F365B9"/>
    <w:rsid w:val="00F465EE"/>
    <w:rsid w:val="00F64151"/>
    <w:rsid w:val="00FB1574"/>
    <w:rsid w:val="00FB4A04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16E3-4960-413C-9C89-F07A4EF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F8"/>
    <w:pPr>
      <w:spacing w:after="0" w:line="240" w:lineRule="auto"/>
    </w:pPr>
    <w:rPr>
      <w:rFonts w:ascii="Calibri" w:hAnsi="Calibri" w:cs="Calibri"/>
    </w:rPr>
  </w:style>
  <w:style w:type="paragraph" w:styleId="Balk3">
    <w:name w:val="heading 3"/>
    <w:basedOn w:val="Normal"/>
    <w:link w:val="Balk3Char"/>
    <w:uiPriority w:val="9"/>
    <w:qFormat/>
    <w:rsid w:val="007817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9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63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731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7817E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71A4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1A4A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C71A4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1A4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Didem Çakmaklı</dc:creator>
  <cp:keywords/>
  <dc:description/>
  <cp:lastModifiedBy>Hülya ŞİMGA</cp:lastModifiedBy>
  <cp:revision>2</cp:revision>
  <dcterms:created xsi:type="dcterms:W3CDTF">2026-08-13T13:12:00Z</dcterms:created>
  <dcterms:modified xsi:type="dcterms:W3CDTF">2026-08-13T13:12:00Z</dcterms:modified>
  <cp:category/>
</cp:coreProperties>
</file>